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A44" w:rsidRPr="00AB3E4B" w:rsidRDefault="001B1A44" w:rsidP="00AB3E4B">
      <w:pPr>
        <w:spacing w:line="360" w:lineRule="auto"/>
        <w:rPr>
          <w:rFonts w:ascii="Palatino Linotype" w:hAnsi="Palatino Linotype"/>
          <w:sz w:val="24"/>
          <w:szCs w:val="24"/>
        </w:rPr>
      </w:pPr>
    </w:p>
    <w:p w:rsidR="00763691" w:rsidRPr="00AB3E4B" w:rsidRDefault="00763691" w:rsidP="00AB3E4B">
      <w:pPr>
        <w:spacing w:line="360" w:lineRule="auto"/>
        <w:jc w:val="center"/>
        <w:rPr>
          <w:rFonts w:ascii="Palatino Linotype" w:hAnsi="Palatino Linotype"/>
          <w:b/>
          <w:sz w:val="24"/>
          <w:szCs w:val="24"/>
        </w:rPr>
      </w:pPr>
      <w:r w:rsidRPr="00AB3E4B">
        <w:rPr>
          <w:rFonts w:ascii="Palatino Linotype" w:hAnsi="Palatino Linotype"/>
          <w:b/>
          <w:sz w:val="24"/>
          <w:szCs w:val="24"/>
        </w:rPr>
        <w:t>Opinion of Counsel</w:t>
      </w:r>
    </w:p>
    <w:p w:rsidR="00763691" w:rsidRPr="00AB3E4B" w:rsidRDefault="00763691" w:rsidP="00AB3E4B">
      <w:pPr>
        <w:spacing w:line="360" w:lineRule="auto"/>
        <w:jc w:val="center"/>
        <w:rPr>
          <w:rFonts w:ascii="Palatino Linotype" w:hAnsi="Palatino Linotype"/>
          <w:b/>
          <w:sz w:val="24"/>
          <w:szCs w:val="24"/>
        </w:rPr>
      </w:pPr>
      <w:r w:rsidRPr="00AB3E4B">
        <w:rPr>
          <w:rFonts w:ascii="Palatino Linotype" w:hAnsi="Palatino Linotype"/>
          <w:b/>
          <w:sz w:val="24"/>
          <w:szCs w:val="24"/>
        </w:rPr>
        <w:t>For</w:t>
      </w:r>
    </w:p>
    <w:p w:rsidR="00763691" w:rsidRPr="00AB3E4B" w:rsidRDefault="00763691" w:rsidP="00AB3E4B">
      <w:pPr>
        <w:spacing w:line="360" w:lineRule="auto"/>
        <w:jc w:val="center"/>
        <w:rPr>
          <w:rFonts w:ascii="Palatino Linotype" w:hAnsi="Palatino Linotype"/>
          <w:b/>
          <w:sz w:val="24"/>
          <w:szCs w:val="24"/>
        </w:rPr>
      </w:pPr>
      <w:r w:rsidRPr="00AB3E4B">
        <w:rPr>
          <w:rFonts w:ascii="Palatino Linotype" w:hAnsi="Palatino Linotype"/>
          <w:b/>
          <w:sz w:val="24"/>
          <w:szCs w:val="24"/>
        </w:rPr>
        <w:t>Scottish Association of Self-Caterers</w:t>
      </w:r>
    </w:p>
    <w:p w:rsidR="00763691" w:rsidRPr="00AB3E4B" w:rsidRDefault="00763691" w:rsidP="00AB3E4B">
      <w:pPr>
        <w:spacing w:line="360" w:lineRule="auto"/>
        <w:jc w:val="center"/>
        <w:rPr>
          <w:rFonts w:ascii="Palatino Linotype" w:hAnsi="Palatino Linotype"/>
          <w:b/>
          <w:sz w:val="24"/>
          <w:szCs w:val="24"/>
        </w:rPr>
      </w:pPr>
      <w:r w:rsidRPr="00AB3E4B">
        <w:rPr>
          <w:rFonts w:ascii="Palatino Linotype" w:hAnsi="Palatino Linotype"/>
          <w:b/>
          <w:sz w:val="24"/>
          <w:szCs w:val="24"/>
        </w:rPr>
        <w:t>Regarding Licensing or Regulation of Short Term Holiday Lets</w:t>
      </w:r>
    </w:p>
    <w:p w:rsidR="00763691" w:rsidRPr="00AB3E4B" w:rsidRDefault="00763691" w:rsidP="00AB3E4B">
      <w:pPr>
        <w:spacing w:line="360" w:lineRule="auto"/>
        <w:rPr>
          <w:rFonts w:ascii="Palatino Linotype" w:hAnsi="Palatino Linotype"/>
          <w:b/>
          <w:sz w:val="24"/>
          <w:szCs w:val="24"/>
        </w:rPr>
      </w:pPr>
      <w:r w:rsidRPr="00AB3E4B">
        <w:rPr>
          <w:rFonts w:ascii="Palatino Linotype" w:hAnsi="Palatino Linotype"/>
          <w:b/>
          <w:sz w:val="24"/>
          <w:szCs w:val="24"/>
        </w:rPr>
        <w:t>Background and Instructions</w:t>
      </w:r>
    </w:p>
    <w:p w:rsidR="00701F4C" w:rsidRPr="00AB3E4B" w:rsidRDefault="00763691" w:rsidP="00AB3E4B">
      <w:pPr>
        <w:spacing w:line="360" w:lineRule="auto"/>
        <w:jc w:val="both"/>
        <w:rPr>
          <w:rFonts w:ascii="Palatino Linotype" w:hAnsi="Palatino Linotype"/>
          <w:sz w:val="24"/>
          <w:szCs w:val="24"/>
        </w:rPr>
      </w:pPr>
      <w:r w:rsidRPr="00AB3E4B">
        <w:rPr>
          <w:rFonts w:ascii="Palatino Linotype" w:hAnsi="Palatino Linotype"/>
          <w:sz w:val="24"/>
          <w:szCs w:val="24"/>
        </w:rPr>
        <w:t xml:space="preserve">I refer to the email of 2 December 2021 of 12.21 pm asking for an Opinion in light of developments. </w:t>
      </w:r>
      <w:r w:rsidR="00701F4C" w:rsidRPr="00AB3E4B">
        <w:rPr>
          <w:rFonts w:ascii="Palatino Linotype" w:hAnsi="Palatino Linotype"/>
          <w:sz w:val="24"/>
          <w:szCs w:val="24"/>
        </w:rPr>
        <w:t>I will refer to Short Term Lets as “STLs.”</w:t>
      </w:r>
    </w:p>
    <w:p w:rsidR="00763691" w:rsidRPr="00AB3E4B" w:rsidRDefault="00701F4C" w:rsidP="00AB3E4B">
      <w:pPr>
        <w:spacing w:line="360" w:lineRule="auto"/>
        <w:jc w:val="both"/>
        <w:rPr>
          <w:rFonts w:ascii="Palatino Linotype" w:hAnsi="Palatino Linotype"/>
          <w:sz w:val="24"/>
          <w:szCs w:val="24"/>
        </w:rPr>
      </w:pPr>
      <w:r w:rsidRPr="00AB3E4B">
        <w:rPr>
          <w:rFonts w:ascii="Palatino Linotype" w:hAnsi="Palatino Linotype"/>
          <w:sz w:val="24"/>
          <w:szCs w:val="24"/>
        </w:rPr>
        <w:t xml:space="preserve">That email </w:t>
      </w:r>
      <w:r w:rsidR="00763691" w:rsidRPr="00AB3E4B">
        <w:rPr>
          <w:rFonts w:ascii="Palatino Linotype" w:hAnsi="Palatino Linotype"/>
          <w:sz w:val="24"/>
          <w:szCs w:val="24"/>
        </w:rPr>
        <w:t>was in the following terms</w:t>
      </w:r>
      <w:r w:rsidR="005303F5">
        <w:rPr>
          <w:rFonts w:ascii="Palatino Linotype" w:hAnsi="Palatino Linotype"/>
          <w:sz w:val="24"/>
          <w:szCs w:val="24"/>
        </w:rPr>
        <w:t>.</w:t>
      </w:r>
    </w:p>
    <w:p w:rsidR="00763691" w:rsidRPr="00AB3E4B" w:rsidRDefault="00763691" w:rsidP="00AB3E4B">
      <w:pPr>
        <w:spacing w:line="360" w:lineRule="auto"/>
        <w:jc w:val="both"/>
        <w:rPr>
          <w:rFonts w:ascii="Palatino Linotype" w:eastAsia="Times New Roman" w:hAnsi="Palatino Linotype" w:cs="Times New Roman"/>
          <w:i/>
          <w:sz w:val="24"/>
          <w:szCs w:val="24"/>
          <w:lang w:eastAsia="en-GB"/>
        </w:rPr>
      </w:pPr>
      <w:r w:rsidRPr="00AB3E4B">
        <w:rPr>
          <w:rFonts w:ascii="Palatino Linotype" w:hAnsi="Palatino Linotype"/>
          <w:sz w:val="24"/>
          <w:szCs w:val="24"/>
        </w:rPr>
        <w:t>“</w:t>
      </w:r>
      <w:r w:rsidRPr="00AB3E4B">
        <w:rPr>
          <w:rFonts w:ascii="Palatino Linotype" w:eastAsia="Times New Roman" w:hAnsi="Palatino Linotype" w:cs="Calibri"/>
          <w:i/>
          <w:sz w:val="24"/>
          <w:szCs w:val="24"/>
          <w:lang w:eastAsia="en-GB"/>
        </w:rPr>
        <w:t xml:space="preserve">Good afternoon Scott, </w:t>
      </w:r>
    </w:p>
    <w:p w:rsidR="00763691" w:rsidRPr="00AB3E4B" w:rsidRDefault="00763691" w:rsidP="00AB3E4B">
      <w:p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Calibri"/>
          <w:i/>
          <w:sz w:val="24"/>
          <w:szCs w:val="24"/>
          <w:lang w:eastAsia="en-GB"/>
        </w:rPr>
        <w:t xml:space="preserve"> Further to your recent involvement in this matter, when the consultation was cancelled, the matter has now raised its head again as the SSI is now back with Committee. The reason the ASSC had decided not to go ahead with your Opinion was due to a amendments made by the Scottish Governments tidying up a coupler of the issues we had previously referred them to and removing over provision given this was not a preexisting consideration in the 1982 Act and given the planning SSI already enforced, addressed that. The issue has raised its head as the ASSC are concerned the SSI in its current forms still allows over provision to be a consideration while it does not state actual over provision as a consideration. Please see link to the SSI as laid. </w:t>
      </w:r>
    </w:p>
    <w:p w:rsidR="00763691" w:rsidRPr="00AB3E4B" w:rsidRDefault="008D68AC" w:rsidP="00AB3E4B">
      <w:pPr>
        <w:spacing w:before="100" w:beforeAutospacing="1" w:after="100" w:afterAutospacing="1" w:line="360" w:lineRule="auto"/>
        <w:jc w:val="both"/>
        <w:rPr>
          <w:rFonts w:ascii="Palatino Linotype" w:eastAsia="Times New Roman" w:hAnsi="Palatino Linotype" w:cs="Times New Roman"/>
          <w:i/>
          <w:sz w:val="24"/>
          <w:szCs w:val="24"/>
          <w:lang w:eastAsia="en-GB"/>
        </w:rPr>
      </w:pPr>
      <w:hyperlink r:id="rId8" w:tgtFrame="_blank" w:history="1">
        <w:r w:rsidR="00763691" w:rsidRPr="00AB3E4B">
          <w:rPr>
            <w:rFonts w:ascii="Palatino Linotype" w:eastAsia="Times New Roman" w:hAnsi="Palatino Linotype" w:cs="Calibri"/>
            <w:i/>
            <w:sz w:val="24"/>
            <w:szCs w:val="24"/>
            <w:lang w:eastAsia="en-GB"/>
          </w:rPr>
          <w:t>https://www.legislation.gov.uk/sdsi/2022/9780111052396/data.pdf</w:t>
        </w:r>
      </w:hyperlink>
    </w:p>
    <w:p w:rsidR="00763691" w:rsidRPr="00AB3E4B" w:rsidRDefault="00763691" w:rsidP="00AB3E4B">
      <w:p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Calibri"/>
          <w:i/>
          <w:sz w:val="24"/>
          <w:szCs w:val="24"/>
          <w:lang w:eastAsia="en-GB"/>
        </w:rPr>
        <w:t> Fiona Campbell, the Chief Executive of the ASSC, is giving evidence to the Committee on Tuesday 7</w:t>
      </w:r>
      <w:r w:rsidRPr="00AB3E4B">
        <w:rPr>
          <w:rFonts w:ascii="Palatino Linotype" w:eastAsia="Times New Roman" w:hAnsi="Palatino Linotype" w:cs="Calibri"/>
          <w:i/>
          <w:sz w:val="24"/>
          <w:szCs w:val="24"/>
          <w:vertAlign w:val="superscript"/>
          <w:lang w:eastAsia="en-GB"/>
        </w:rPr>
        <w:t>th</w:t>
      </w:r>
      <w:r w:rsidRPr="00AB3E4B">
        <w:rPr>
          <w:rFonts w:ascii="Palatino Linotype" w:eastAsia="Times New Roman" w:hAnsi="Palatino Linotype" w:cs="Calibri"/>
          <w:i/>
          <w:sz w:val="24"/>
          <w:szCs w:val="24"/>
          <w:lang w:eastAsia="en-GB"/>
        </w:rPr>
        <w:t xml:space="preserve"> December 2021 and would welcome an Opinion from you prior to doing so. I appreciate this is a tight timescale and did try to call earlier this week but you went straight to voicemail so I was not sure if you were in court. Given the background reading here has </w:t>
      </w:r>
      <w:r w:rsidRPr="00AB3E4B">
        <w:rPr>
          <w:rFonts w:ascii="Palatino Linotype" w:eastAsia="Times New Roman" w:hAnsi="Palatino Linotype" w:cs="Calibri"/>
          <w:i/>
          <w:sz w:val="24"/>
          <w:szCs w:val="24"/>
          <w:lang w:eastAsia="en-GB"/>
        </w:rPr>
        <w:lastRenderedPageBreak/>
        <w:t xml:space="preserve">already been done could you let me know of you could produce an Opinion in the time scale.  Also, if you are able to do so, could you confirm a fixed fee for an Opinion on the basis there would not be opportunity at this stage to consult before Tuesday therefore any fee should relate solely to the Opinion on the basis I will make it clear to the client any additional consultation or amendment will encore further fees from you. </w:t>
      </w:r>
    </w:p>
    <w:p w:rsidR="00763691" w:rsidRPr="00AB3E4B" w:rsidRDefault="00763691" w:rsidP="00AB3E4B">
      <w:p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Calibri"/>
          <w:i/>
          <w:sz w:val="24"/>
          <w:szCs w:val="24"/>
          <w:lang w:eastAsia="en-GB"/>
        </w:rPr>
        <w:t xml:space="preserve"> The link to the BRIA is at </w:t>
      </w:r>
      <w:hyperlink r:id="rId9" w:tgtFrame="_blank" w:history="1">
        <w:r w:rsidRPr="00AB3E4B">
          <w:rPr>
            <w:rFonts w:ascii="Palatino Linotype" w:eastAsia="Times New Roman" w:hAnsi="Palatino Linotype" w:cs="Calibri"/>
            <w:i/>
            <w:sz w:val="24"/>
            <w:szCs w:val="24"/>
            <w:lang w:eastAsia="en-GB"/>
          </w:rPr>
          <w:t>https://www.gov.scot/publications/short-term-lets-business-regulatory-impact-assessment/pages/8/</w:t>
        </w:r>
      </w:hyperlink>
      <w:r w:rsidRPr="00AB3E4B">
        <w:rPr>
          <w:rFonts w:ascii="Palatino Linotype" w:eastAsia="Times New Roman" w:hAnsi="Palatino Linotype" w:cs="Times New Roman"/>
          <w:i/>
          <w:sz w:val="24"/>
          <w:szCs w:val="24"/>
          <w:lang w:eastAsia="en-GB"/>
        </w:rPr>
        <w:t>.</w:t>
      </w:r>
    </w:p>
    <w:p w:rsidR="00763691" w:rsidRPr="00AB3E4B" w:rsidRDefault="00763691" w:rsidP="00AB3E4B">
      <w:p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Calibri"/>
          <w:i/>
          <w:sz w:val="24"/>
          <w:szCs w:val="24"/>
          <w:lang w:eastAsia="en-GB"/>
        </w:rPr>
        <w:t> Kind regards,</w:t>
      </w:r>
    </w:p>
    <w:p w:rsidR="00763691" w:rsidRPr="00AB3E4B" w:rsidRDefault="00763691" w:rsidP="00AB3E4B">
      <w:p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Calibri"/>
          <w:i/>
          <w:sz w:val="24"/>
          <w:szCs w:val="24"/>
          <w:lang w:eastAsia="en-GB"/>
        </w:rPr>
        <w:t> Jo.”</w:t>
      </w:r>
    </w:p>
    <w:p w:rsidR="00763691" w:rsidRPr="00AB3E4B" w:rsidRDefault="00763691" w:rsidP="00AB3E4B">
      <w:pPr>
        <w:spacing w:line="360" w:lineRule="auto"/>
        <w:jc w:val="both"/>
        <w:rPr>
          <w:rFonts w:ascii="Palatino Linotype" w:hAnsi="Palatino Linotype"/>
          <w:sz w:val="24"/>
          <w:szCs w:val="24"/>
        </w:rPr>
      </w:pPr>
      <w:r w:rsidRPr="00AB3E4B">
        <w:rPr>
          <w:rFonts w:ascii="Palatino Linotype" w:hAnsi="Palatino Linotype"/>
          <w:sz w:val="24"/>
          <w:szCs w:val="24"/>
        </w:rPr>
        <w:t>Before these developments and to help put this in context I was originally instructed as follows</w:t>
      </w:r>
    </w:p>
    <w:p w:rsidR="00763691" w:rsidRPr="00AB3E4B" w:rsidRDefault="00763691" w:rsidP="00AB3E4B">
      <w:pPr>
        <w:spacing w:line="360" w:lineRule="auto"/>
        <w:jc w:val="both"/>
        <w:rPr>
          <w:rFonts w:ascii="Palatino Linotype" w:eastAsia="Times New Roman" w:hAnsi="Palatino Linotype" w:cs="Times New Roman"/>
          <w:i/>
          <w:sz w:val="24"/>
          <w:szCs w:val="24"/>
          <w:lang w:eastAsia="en-GB"/>
        </w:rPr>
      </w:pPr>
      <w:r w:rsidRPr="00AB3E4B">
        <w:rPr>
          <w:rFonts w:ascii="Palatino Linotype" w:hAnsi="Palatino Linotype"/>
          <w:i/>
          <w:sz w:val="24"/>
          <w:szCs w:val="24"/>
        </w:rPr>
        <w:t>“</w:t>
      </w:r>
      <w:r w:rsidRPr="00AB3E4B">
        <w:rPr>
          <w:rFonts w:ascii="Palatino Linotype" w:eastAsia="Times New Roman" w:hAnsi="Palatino Linotype" w:cs="Calibri"/>
          <w:i/>
          <w:sz w:val="24"/>
          <w:szCs w:val="24"/>
          <w:lang w:eastAsia="en-GB"/>
        </w:rPr>
        <w:t>Scott,</w:t>
      </w:r>
    </w:p>
    <w:p w:rsidR="00763691" w:rsidRPr="00AB3E4B" w:rsidRDefault="00763691" w:rsidP="00AB3E4B">
      <w:p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Calibri"/>
          <w:i/>
          <w:sz w:val="24"/>
          <w:szCs w:val="24"/>
          <w:lang w:eastAsia="en-GB"/>
        </w:rPr>
        <w:t xml:space="preserve"> As we discussed, I am instructed by the Association of Scotland’s Self-Caterers (ASSC).  I have been asked by their Chief Executive, Fiona Campbell, to seek a Consultation with you and thereafter an Opinion from you on the legality of the current SSI as proposed by the Scottish Government.  The SSI has something of a history and while I do not expect you would need to consider in any detail the previous consultation documents, it would be worthwhile being aware of the background here. </w:t>
      </w:r>
    </w:p>
    <w:p w:rsidR="00763691" w:rsidRPr="00AB3E4B" w:rsidRDefault="00763691" w:rsidP="00AB3E4B">
      <w:p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Calibri"/>
          <w:i/>
          <w:sz w:val="24"/>
          <w:szCs w:val="24"/>
          <w:lang w:eastAsia="en-GB"/>
        </w:rPr>
        <w:t xml:space="preserve"> Fiona and I are both on the Scottish Government Short Term Let Working Group – I have saved the Scottish Government page with information on this in the Sharefile.  The hospitality trade groups left the Working Group in August of this year as they felt their issues were not being properly listened to and I have also saved the ASSC press release on this. As we discussed, due to the fact I am on the Law Society Licensing Committee and also on the working group, I do not want to forward you information which I have obtained from either of those sources.  I therefore asked Fiona to forward me various information in order </w:t>
      </w:r>
      <w:r w:rsidRPr="00AB3E4B">
        <w:rPr>
          <w:rFonts w:ascii="Palatino Linotype" w:eastAsia="Times New Roman" w:hAnsi="Palatino Linotype" w:cs="Calibri"/>
          <w:i/>
          <w:sz w:val="24"/>
          <w:szCs w:val="24"/>
          <w:lang w:eastAsia="en-GB"/>
        </w:rPr>
        <w:lastRenderedPageBreak/>
        <w:t>that we can ensure the information you are being provided with is that which the ASSC holds, and there can be no suggestion there is an issue due to my other involvement in other aspects.  The rest is publi</w:t>
      </w:r>
      <w:r w:rsidR="00AB3E4B">
        <w:rPr>
          <w:rFonts w:ascii="Palatino Linotype" w:eastAsia="Times New Roman" w:hAnsi="Palatino Linotype" w:cs="Calibri"/>
          <w:i/>
          <w:sz w:val="24"/>
          <w:szCs w:val="24"/>
          <w:lang w:eastAsia="en-GB"/>
        </w:rPr>
        <w:t>c</w:t>
      </w:r>
      <w:r w:rsidRPr="00AB3E4B">
        <w:rPr>
          <w:rFonts w:ascii="Palatino Linotype" w:eastAsia="Times New Roman" w:hAnsi="Palatino Linotype" w:cs="Calibri"/>
          <w:i/>
          <w:sz w:val="24"/>
          <w:szCs w:val="24"/>
          <w:lang w:eastAsia="en-GB"/>
        </w:rPr>
        <w:t xml:space="preserve"> information.</w:t>
      </w:r>
    </w:p>
    <w:p w:rsidR="00763691" w:rsidRPr="00AB3E4B" w:rsidRDefault="00763691" w:rsidP="00AB3E4B">
      <w:pPr>
        <w:spacing w:before="100" w:beforeAutospacing="1" w:after="100" w:afterAutospacing="1" w:line="360" w:lineRule="auto"/>
        <w:jc w:val="both"/>
        <w:rPr>
          <w:rFonts w:ascii="Palatino Linotype" w:eastAsia="Times New Roman" w:hAnsi="Palatino Linotype" w:cs="Times New Roman"/>
          <w:b/>
          <w:bCs/>
          <w:i/>
          <w:sz w:val="24"/>
          <w:szCs w:val="24"/>
          <w:lang w:eastAsia="en-GB"/>
        </w:rPr>
      </w:pPr>
      <w:r w:rsidRPr="00AB3E4B">
        <w:rPr>
          <w:rFonts w:ascii="Palatino Linotype" w:eastAsia="Times New Roman" w:hAnsi="Palatino Linotype" w:cs="Calibri"/>
          <w:i/>
          <w:sz w:val="24"/>
          <w:szCs w:val="24"/>
          <w:lang w:eastAsia="en-GB"/>
        </w:rPr>
        <w:t> As well as licensing, time the Scottish Government proposed a planning SSI, the Control Area Regulations on 14 December 2020. The Control Area Regulations were laid at the Scottish Parliament and were approved by it on 24 February 2021.  They came into force on 1 April 2021.   </w:t>
      </w:r>
    </w:p>
    <w:p w:rsidR="00763691" w:rsidRPr="00AB3E4B" w:rsidRDefault="00763691" w:rsidP="00AB3E4B">
      <w:pPr>
        <w:shd w:val="clear" w:color="auto" w:fill="FFFFFF"/>
        <w:spacing w:after="0" w:line="360" w:lineRule="auto"/>
        <w:jc w:val="both"/>
        <w:outlineLvl w:val="2"/>
        <w:rPr>
          <w:rFonts w:ascii="Palatino Linotype" w:eastAsia="Times New Roman" w:hAnsi="Palatino Linotype" w:cs="Times New Roman"/>
          <w:b/>
          <w:bCs/>
          <w:i/>
          <w:sz w:val="24"/>
          <w:szCs w:val="24"/>
          <w:lang w:eastAsia="en-GB"/>
        </w:rPr>
      </w:pPr>
      <w:r w:rsidRPr="00AB3E4B">
        <w:rPr>
          <w:rFonts w:ascii="Palatino Linotype" w:eastAsia="Times New Roman" w:hAnsi="Palatino Linotype" w:cs="Calibri"/>
          <w:i/>
          <w:sz w:val="24"/>
          <w:szCs w:val="24"/>
          <w:lang w:eastAsia="en-GB"/>
        </w:rPr>
        <w:t>By way of background, in 2016, the Regulatory Review Group undertook a review of the regulatory environment within Scotland for key sectors which included the Tourism sector.  This was aimed at sectors affected by digital disruption to “</w:t>
      </w:r>
      <w:r w:rsidRPr="00AB3E4B">
        <w:rPr>
          <w:rFonts w:ascii="Palatino Linotype" w:eastAsia="Times New Roman" w:hAnsi="Palatino Linotype" w:cs="Calibri"/>
          <w:i/>
          <w:iCs/>
          <w:sz w:val="24"/>
          <w:szCs w:val="24"/>
          <w:lang w:eastAsia="en-GB"/>
        </w:rPr>
        <w:t>ensure that it remains appropriate to encourage and support innovation while maintaining a level playing field</w:t>
      </w:r>
      <w:r w:rsidRPr="00AB3E4B">
        <w:rPr>
          <w:rFonts w:ascii="Palatino Linotype" w:eastAsia="Times New Roman" w:hAnsi="Palatino Linotype" w:cs="Calibri"/>
          <w:i/>
          <w:sz w:val="24"/>
          <w:szCs w:val="24"/>
          <w:lang w:eastAsia="en-GB"/>
        </w:rPr>
        <w:t xml:space="preserve">”.  In November 2016, the Minister for Business, Innovation and Energy approved their recommendation that an independent expert advisory panel be established to advise Scottish Ministers on how Scotland could position itself to take advantage of the opportunities of the collaborative economy and the challenges that may bring. </w:t>
      </w:r>
    </w:p>
    <w:p w:rsidR="00AB3E4B" w:rsidRDefault="00763691" w:rsidP="00AB3E4B">
      <w:pPr>
        <w:shd w:val="clear" w:color="auto" w:fill="FFFFFF"/>
        <w:spacing w:after="0" w:line="360" w:lineRule="auto"/>
        <w:jc w:val="both"/>
        <w:outlineLvl w:val="2"/>
        <w:rPr>
          <w:rFonts w:ascii="Palatino Linotype" w:eastAsia="Times New Roman" w:hAnsi="Palatino Linotype" w:cs="Calibri"/>
          <w:i/>
          <w:sz w:val="24"/>
          <w:szCs w:val="24"/>
          <w:lang w:eastAsia="en-GB"/>
        </w:rPr>
      </w:pPr>
      <w:r w:rsidRPr="00AB3E4B">
        <w:rPr>
          <w:rFonts w:ascii="Palatino Linotype" w:eastAsia="Times New Roman" w:hAnsi="Palatino Linotype" w:cs="Calibri"/>
          <w:i/>
          <w:sz w:val="24"/>
          <w:szCs w:val="24"/>
          <w:lang w:eastAsia="en-GB"/>
        </w:rPr>
        <w:t> </w:t>
      </w:r>
    </w:p>
    <w:p w:rsidR="00763691" w:rsidRPr="00AB3E4B" w:rsidRDefault="00763691" w:rsidP="00AB3E4B">
      <w:pPr>
        <w:shd w:val="clear" w:color="auto" w:fill="FFFFFF"/>
        <w:spacing w:after="0" w:line="360" w:lineRule="auto"/>
        <w:jc w:val="both"/>
        <w:outlineLvl w:val="2"/>
        <w:rPr>
          <w:rFonts w:ascii="Palatino Linotype" w:eastAsia="Times New Roman" w:hAnsi="Palatino Linotype" w:cs="Times New Roman"/>
          <w:i/>
          <w:sz w:val="24"/>
          <w:szCs w:val="24"/>
          <w:lang w:eastAsia="en-GB"/>
        </w:rPr>
      </w:pPr>
      <w:r w:rsidRPr="00AB3E4B">
        <w:rPr>
          <w:rFonts w:ascii="Palatino Linotype" w:eastAsia="Times New Roman" w:hAnsi="Palatino Linotype" w:cs="Calibri"/>
          <w:i/>
          <w:sz w:val="24"/>
          <w:szCs w:val="24"/>
          <w:lang w:eastAsia="en-GB"/>
        </w:rPr>
        <w:t>As a result, in April 2017 the Scottish Government set up the Expert Panel on the Collaborative Economy (“EPCE”).  In summary, its remit is to provide advice, expertise and experience for policy development.  It should identify how Scotland could benefit from the “collaborative economy” and ensure that regulation introduced, and current at that point, is fit for purpose.  It should also ensure that the wider economic, social and community impacts, including taxation, social inclusion and employment conditions are taken into account.  That is interesting as part of the issue the ASSC has with the proposals on the licensing SSI is that it fails to do that and, arguably, fails to propose legislation which is within the remit of the original Panel which set the SSI in motion. Interestingly, at its first meeting on 4</w:t>
      </w:r>
      <w:r w:rsidRPr="00AB3E4B">
        <w:rPr>
          <w:rFonts w:ascii="Palatino Linotype" w:eastAsia="Times New Roman" w:hAnsi="Palatino Linotype" w:cs="Calibri"/>
          <w:i/>
          <w:sz w:val="24"/>
          <w:szCs w:val="24"/>
          <w:vertAlign w:val="superscript"/>
          <w:lang w:eastAsia="en-GB"/>
        </w:rPr>
        <w:t>th</w:t>
      </w:r>
      <w:r w:rsidRPr="00AB3E4B">
        <w:rPr>
          <w:rFonts w:ascii="Palatino Linotype" w:eastAsia="Times New Roman" w:hAnsi="Palatino Linotype" w:cs="Calibri"/>
          <w:i/>
          <w:sz w:val="24"/>
          <w:szCs w:val="24"/>
          <w:lang w:eastAsia="en-GB"/>
        </w:rPr>
        <w:t xml:space="preserve"> May 20201, the Minutes (copy in the Sharefile) reflect that the introductory remarks from the Chair, Helen Goulden of Nesta, included reference to the remit, namely “</w:t>
      </w:r>
      <w:r w:rsidRPr="00AB3E4B">
        <w:rPr>
          <w:rFonts w:ascii="Palatino Linotype" w:eastAsia="Times New Roman" w:hAnsi="Palatino Linotype" w:cs="Calibri"/>
          <w:i/>
          <w:iCs/>
          <w:sz w:val="24"/>
          <w:szCs w:val="24"/>
          <w:shd w:val="clear" w:color="auto" w:fill="FFFFFF"/>
          <w:lang w:eastAsia="en-GB"/>
        </w:rPr>
        <w:t xml:space="preserve">The panel’s </w:t>
      </w:r>
      <w:r w:rsidRPr="00AB3E4B">
        <w:rPr>
          <w:rFonts w:ascii="Palatino Linotype" w:eastAsia="Times New Roman" w:hAnsi="Palatino Linotype" w:cs="Calibri"/>
          <w:i/>
          <w:iCs/>
          <w:sz w:val="24"/>
          <w:szCs w:val="24"/>
          <w:shd w:val="clear" w:color="auto" w:fill="FFFFFF"/>
          <w:lang w:eastAsia="en-GB"/>
        </w:rPr>
        <w:lastRenderedPageBreak/>
        <w:t>membership has a diverse range of interests and will be guided by data and evidence. A key element of the panel’s remit is to advise how to balance the challenges and the opportunities and to ensure that emerging business models don’t have any unfair competitive advantage over traditional business models.”</w:t>
      </w:r>
      <w:r w:rsidRPr="00AB3E4B">
        <w:rPr>
          <w:rFonts w:ascii="Palatino Linotype" w:eastAsia="Times New Roman" w:hAnsi="Palatino Linotype" w:cs="Calibri"/>
          <w:i/>
          <w:sz w:val="24"/>
          <w:szCs w:val="24"/>
          <w:shd w:val="clear" w:color="auto" w:fill="FFFFFF"/>
          <w:lang w:eastAsia="en-GB"/>
        </w:rPr>
        <w:t xml:space="preserve">  </w:t>
      </w:r>
    </w:p>
    <w:p w:rsidR="00763691" w:rsidRPr="00AB3E4B" w:rsidRDefault="00763691" w:rsidP="00AB3E4B">
      <w:pPr>
        <w:shd w:val="clear" w:color="auto" w:fill="FFFFFF"/>
        <w:spacing w:before="100" w:beforeAutospacing="1" w:after="420"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Calibri"/>
          <w:i/>
          <w:sz w:val="24"/>
          <w:szCs w:val="24"/>
          <w:shd w:val="clear" w:color="auto" w:fill="FFFFFF"/>
          <w:lang w:eastAsia="en-GB"/>
        </w:rPr>
        <w:t xml:space="preserve">The </w:t>
      </w:r>
      <w:r w:rsidRPr="00AB3E4B">
        <w:rPr>
          <w:rFonts w:ascii="Palatino Linotype" w:eastAsia="Times New Roman" w:hAnsi="Palatino Linotype" w:cs="Calibri"/>
          <w:i/>
          <w:sz w:val="24"/>
          <w:szCs w:val="24"/>
          <w:lang w:eastAsia="en-GB"/>
        </w:rPr>
        <w:t>Remit and Key Consideration of the EPCE was confirmed in their terms of reference referred to and included in the agenda and minutes of its first meeting on 4</w:t>
      </w:r>
      <w:r w:rsidRPr="00AB3E4B">
        <w:rPr>
          <w:rFonts w:ascii="Palatino Linotype" w:eastAsia="Times New Roman" w:hAnsi="Palatino Linotype" w:cs="Calibri"/>
          <w:i/>
          <w:sz w:val="24"/>
          <w:szCs w:val="24"/>
          <w:vertAlign w:val="superscript"/>
          <w:lang w:eastAsia="en-GB"/>
        </w:rPr>
        <w:t>th</w:t>
      </w:r>
      <w:r w:rsidRPr="00AB3E4B">
        <w:rPr>
          <w:rFonts w:ascii="Palatino Linotype" w:eastAsia="Times New Roman" w:hAnsi="Palatino Linotype" w:cs="Calibri"/>
          <w:i/>
          <w:sz w:val="24"/>
          <w:szCs w:val="24"/>
          <w:lang w:eastAsia="en-GB"/>
        </w:rPr>
        <w:t xml:space="preserve"> May 2017 (copy in Sharefile) as follows:</w:t>
      </w:r>
    </w:p>
    <w:p w:rsidR="00763691" w:rsidRPr="00AB3E4B" w:rsidRDefault="00763691" w:rsidP="00AB3E4B">
      <w:pPr>
        <w:shd w:val="clear" w:color="auto" w:fill="FFFFFF"/>
        <w:spacing w:before="100" w:beforeAutospacing="1" w:after="420" w:line="360" w:lineRule="auto"/>
        <w:ind w:left="720" w:hanging="360"/>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Times New Roman"/>
          <w:i/>
          <w:sz w:val="24"/>
          <w:szCs w:val="24"/>
          <w:lang w:eastAsia="en-GB"/>
        </w:rPr>
        <w:t xml:space="preserve">·         </w:t>
      </w:r>
      <w:r w:rsidRPr="00AB3E4B">
        <w:rPr>
          <w:rFonts w:ascii="Palatino Linotype" w:eastAsia="Times New Roman" w:hAnsi="Palatino Linotype" w:cs="Calibri"/>
          <w:i/>
          <w:sz w:val="24"/>
          <w:szCs w:val="24"/>
          <w:lang w:eastAsia="en-GB"/>
        </w:rPr>
        <w:t xml:space="preserve">Remit: Members of the Scottish Expert Advisory Panel on the Collaborative Economy will: Provide advice, expertise and experience to on-going policy development on the collaborative economy; Make recommendations to Scottish Ministers on how Scotland can position itself to take advantage of the opportunities of the collaborative economy and overcome any regulatory, economic and social challenges. </w:t>
      </w:r>
    </w:p>
    <w:p w:rsidR="00763691" w:rsidRPr="00AB3E4B" w:rsidRDefault="00763691" w:rsidP="00AB3E4B">
      <w:pPr>
        <w:shd w:val="clear" w:color="auto" w:fill="FFFFFF"/>
        <w:spacing w:before="100" w:beforeAutospacing="1" w:after="420" w:line="360" w:lineRule="auto"/>
        <w:ind w:left="720" w:hanging="360"/>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Times New Roman"/>
          <w:i/>
          <w:sz w:val="24"/>
          <w:szCs w:val="24"/>
          <w:lang w:eastAsia="en-GB"/>
        </w:rPr>
        <w:t xml:space="preserve">·         </w:t>
      </w:r>
      <w:r w:rsidRPr="00AB3E4B">
        <w:rPr>
          <w:rFonts w:ascii="Palatino Linotype" w:eastAsia="Times New Roman" w:hAnsi="Palatino Linotype" w:cs="Calibri"/>
          <w:i/>
          <w:sz w:val="24"/>
          <w:szCs w:val="24"/>
          <w:lang w:eastAsia="en-GB"/>
        </w:rPr>
        <w:t>Key Considerations: In conjunction with the Scottish Government, the panel has identified that the key considerations are how to: ensure that regulation is fit for purpose and that an appropriate balance is struck to allow competition to flourish; protect and empower consumers and identify clear routes to redress; develop digital leadership skills to enable Scotland's business base to digitally transform and compete in the evolving market place; prepare Scotland’s current and future workforce for the digital workplace by ensuring they can access courses to gain or update skills; and ensure that the wider economic, social and community impacts, including taxation, social inclusion and employment conditions are taken into account and embedded into the final recommendations.</w:t>
      </w:r>
    </w:p>
    <w:p w:rsidR="00763691" w:rsidRPr="00AB3E4B" w:rsidRDefault="00763691" w:rsidP="00AB3E4B">
      <w:pPr>
        <w:shd w:val="clear" w:color="auto" w:fill="FFFFFF"/>
        <w:spacing w:after="0"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Calibri"/>
          <w:i/>
          <w:sz w:val="24"/>
          <w:szCs w:val="24"/>
          <w:lang w:eastAsia="en-GB"/>
        </w:rPr>
        <w:t xml:space="preserve">In January 2018 the Panel reported that peer-to-peer accommodation expanded the range, choice and flexibility of accommodation for tourists in Scotland and welcomed the positive contribution which it made to Scotland's economy and highlighted number of issues and </w:t>
      </w:r>
      <w:r w:rsidRPr="00AB3E4B">
        <w:rPr>
          <w:rFonts w:ascii="Palatino Linotype" w:eastAsia="Times New Roman" w:hAnsi="Palatino Linotype" w:cs="Calibri"/>
          <w:i/>
          <w:sz w:val="24"/>
          <w:szCs w:val="24"/>
          <w:lang w:eastAsia="en-GB"/>
        </w:rPr>
        <w:lastRenderedPageBreak/>
        <w:t xml:space="preserve">challenges in relation to peer-to-peer accommodation and short-term lets.  I will provide you with a separate note on that but for completes have put a copy of the report in the Sharefile.  </w:t>
      </w:r>
    </w:p>
    <w:p w:rsidR="00763691" w:rsidRPr="00AB3E4B" w:rsidRDefault="00763691" w:rsidP="00AB3E4B">
      <w:pPr>
        <w:shd w:val="clear" w:color="auto" w:fill="FFFFFF"/>
        <w:spacing w:after="0"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Calibri"/>
          <w:i/>
          <w:sz w:val="24"/>
          <w:szCs w:val="24"/>
          <w:lang w:eastAsia="en-GB"/>
        </w:rPr>
        <w:t> </w:t>
      </w:r>
    </w:p>
    <w:p w:rsidR="00763691" w:rsidRPr="00AB3E4B" w:rsidRDefault="00763691" w:rsidP="00AB3E4B">
      <w:pPr>
        <w:shd w:val="clear" w:color="auto" w:fill="FFFFFF"/>
        <w:spacing w:after="0"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Calibri"/>
          <w:i/>
          <w:sz w:val="24"/>
          <w:szCs w:val="24"/>
          <w:lang w:eastAsia="en-GB"/>
        </w:rPr>
        <w:t>In July 2018 the Scottish Government published its response to the Expert Panel’s report, copy in Sharefile, which included the establishment of a Short-Term Lets Delivery Group.  The Short-Term Lets Delivery Group was established “</w:t>
      </w:r>
      <w:r w:rsidRPr="00AB3E4B">
        <w:rPr>
          <w:rFonts w:ascii="Palatino Linotype" w:eastAsia="Times New Roman" w:hAnsi="Palatino Linotype" w:cs="Calibri"/>
          <w:i/>
          <w:iCs/>
          <w:sz w:val="24"/>
          <w:szCs w:val="24"/>
          <w:lang w:eastAsia="en-GB"/>
        </w:rPr>
        <w:t>to assess the evidence base and the impact, positive and negative, of short-term lets; identify the existing powers local authorities have and explore whether further measures are required. The Group comprised officials from across relevant areas of government including: better regulation, community empowerment, economy, housing, licensing, planning, tax and tourism</w:t>
      </w:r>
      <w:r w:rsidRPr="00AB3E4B">
        <w:rPr>
          <w:rFonts w:ascii="Palatino Linotype" w:eastAsia="Times New Roman" w:hAnsi="Palatino Linotype" w:cs="Calibri"/>
          <w:i/>
          <w:sz w:val="24"/>
          <w:szCs w:val="24"/>
          <w:lang w:eastAsia="en-GB"/>
        </w:rPr>
        <w:t>.”</w:t>
      </w:r>
    </w:p>
    <w:p w:rsidR="00763691" w:rsidRPr="00AB3E4B" w:rsidRDefault="00763691" w:rsidP="00AB3E4B">
      <w:p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Calibri"/>
          <w:i/>
          <w:sz w:val="24"/>
          <w:szCs w:val="24"/>
          <w:lang w:eastAsia="en-GB"/>
        </w:rPr>
        <w:t xml:space="preserve"> I attach a link to the Scottish Government page on the Short Term Lets process to date as it contains most of the relevant information. </w:t>
      </w:r>
      <w:hyperlink r:id="rId10" w:tgtFrame="_blank" w:history="1">
        <w:r w:rsidRPr="00AB3E4B">
          <w:rPr>
            <w:rFonts w:ascii="Palatino Linotype" w:eastAsia="Times New Roman" w:hAnsi="Palatino Linotype" w:cs="Calibri"/>
            <w:i/>
            <w:sz w:val="24"/>
            <w:szCs w:val="24"/>
            <w:lang w:eastAsia="en-GB"/>
          </w:rPr>
          <w:t>https://www.gov.scot/publications/short-term-lets/</w:t>
        </w:r>
      </w:hyperlink>
      <w:r w:rsidRPr="00AB3E4B">
        <w:rPr>
          <w:rFonts w:ascii="Palatino Linotype" w:eastAsia="Times New Roman" w:hAnsi="Palatino Linotype" w:cs="Calibri"/>
          <w:i/>
          <w:sz w:val="24"/>
          <w:szCs w:val="24"/>
          <w:lang w:eastAsia="en-GB"/>
        </w:rPr>
        <w:t xml:space="preserve"> </w:t>
      </w:r>
    </w:p>
    <w:p w:rsidR="00763691" w:rsidRPr="00AB3E4B" w:rsidRDefault="00763691" w:rsidP="00AB3E4B">
      <w:p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Calibri"/>
          <w:i/>
          <w:sz w:val="24"/>
          <w:szCs w:val="24"/>
          <w:lang w:eastAsia="en-GB"/>
        </w:rPr>
        <w:t xml:space="preserve"> There was an initial Consultation in our around April 2019.  See the Consultation document in the Sharefile.  This did not attract a significant amount of feedback, however, there were consultation responses.  The ASSC then approached Gilson Gray in relation to the second consultation phase and sought assistance.  We were not specifically instructed at that stage, but had provided some guidance in relation to the content of the Consultation and suggestions about framing responses.  </w:t>
      </w:r>
    </w:p>
    <w:p w:rsidR="00763691" w:rsidRPr="00AB3E4B" w:rsidRDefault="00763691" w:rsidP="00AB3E4B">
      <w:p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Calibri"/>
          <w:i/>
          <w:sz w:val="24"/>
          <w:szCs w:val="24"/>
          <w:lang w:eastAsia="en-GB"/>
        </w:rPr>
        <w:t> This second consultation attracted a lot of responses from other trade bodies include Airbnb and also from various Councils throughout Scotland. The ASSC response is attached.</w:t>
      </w:r>
    </w:p>
    <w:p w:rsidR="00763691" w:rsidRPr="00AB3E4B" w:rsidRDefault="00763691" w:rsidP="00AB3E4B">
      <w:p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Calibri"/>
          <w:i/>
          <w:sz w:val="24"/>
          <w:szCs w:val="24"/>
          <w:lang w:eastAsia="en-GB"/>
        </w:rPr>
        <w:t xml:space="preserve"> The second consultation resulted in a SSI being drafted to amend the Civic Government (Scotland) Act 1982.  The SSI in its drafted form was placed before the Scottish Government Committee in the usual method of transition of a Bill through the Scottish Government’s legislation process.  The SSI was not supported and it was deemed to have too many material defects to proceed.  The SSI had to be lifted, as it cannot be amended, and redrafted. </w:t>
      </w:r>
    </w:p>
    <w:p w:rsidR="00763691" w:rsidRPr="00AB3E4B" w:rsidRDefault="00763691" w:rsidP="00AB3E4B">
      <w:p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Calibri"/>
          <w:i/>
          <w:sz w:val="24"/>
          <w:szCs w:val="24"/>
          <w:lang w:eastAsia="en-GB"/>
        </w:rPr>
        <w:t> </w:t>
      </w:r>
    </w:p>
    <w:p w:rsidR="00763691" w:rsidRPr="00AB3E4B" w:rsidRDefault="00763691" w:rsidP="00AB3E4B">
      <w:p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Calibri"/>
          <w:i/>
          <w:sz w:val="24"/>
          <w:szCs w:val="24"/>
          <w:lang w:eastAsia="en-GB"/>
        </w:rPr>
        <w:lastRenderedPageBreak/>
        <w:t xml:space="preserve">In anticipation of the SSI being approved a Working Group for the Scottish Government had been set up.  I am a member of this, but not on the basis of providing any instructions simply as a volunteer to try to pull together the Written Guidance in respect of the SSI.  Originally there was to be one set of guidance, however, this was then broken down into two sets, one being for operators and one being for local licensing authorities and those using the legislation in a professional capacity.  There is current draft Guidance for hosts and operators and guidance for licensing authorities, both in the Sharefile. </w:t>
      </w:r>
    </w:p>
    <w:p w:rsidR="00763691" w:rsidRPr="00AB3E4B" w:rsidRDefault="00763691" w:rsidP="00AB3E4B">
      <w:p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Calibri"/>
          <w:i/>
          <w:sz w:val="24"/>
          <w:szCs w:val="24"/>
          <w:lang w:eastAsia="en-GB"/>
        </w:rPr>
        <w:t> </w:t>
      </w:r>
      <w:r w:rsidRPr="00AB3E4B">
        <w:rPr>
          <w:rFonts w:ascii="Palatino Linotype" w:eastAsia="Times New Roman" w:hAnsi="Palatino Linotype" w:cs="Calibri"/>
          <w:i/>
          <w:sz w:val="24"/>
          <w:szCs w:val="24"/>
          <w:shd w:val="clear" w:color="auto" w:fill="FFFFFF"/>
          <w:lang w:eastAsia="en-GB"/>
        </w:rPr>
        <w:t>Due to the Licensing SSI having to be re-laid and redrafted first, Councils will now have until 1 October 2022, rather than the originally stated April 2022 deadline, to establish a licensing scheme for short-term lets. Under the current proposed legislation, all hosts and operators would be required to apply for a licence by 1 April 2023 and all short-term lets would have to be fully licensed by 1 April 2024.</w:t>
      </w:r>
      <w:r w:rsidRPr="00AB3E4B">
        <w:rPr>
          <w:rFonts w:ascii="Palatino Linotype" w:eastAsia="Times New Roman" w:hAnsi="Palatino Linotype" w:cs="Calibri"/>
          <w:i/>
          <w:sz w:val="24"/>
          <w:szCs w:val="24"/>
          <w:shd w:val="clear" w:color="auto" w:fill="FFFF00"/>
          <w:lang w:eastAsia="en-GB"/>
        </w:rPr>
        <w:t> </w:t>
      </w:r>
    </w:p>
    <w:p w:rsidR="00763691" w:rsidRPr="00AB3E4B" w:rsidRDefault="00763691" w:rsidP="00AB3E4B">
      <w:p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Calibri"/>
          <w:i/>
          <w:sz w:val="24"/>
          <w:szCs w:val="24"/>
          <w:lang w:eastAsia="en-GB"/>
        </w:rPr>
        <w:t>In relation to this instruction, I would be grateful if you would consider the matter specifically raised in our discussion earlier this week which may be matters of competency.  The SSI laid, but later lifted has now been amended to the current form.  The form and SSI is available online, and I attach a copy.  As you will see the provision was introduced in between the SSI being lifted and the new drafting.</w:t>
      </w:r>
      <w:r w:rsidRPr="00AB3E4B">
        <w:rPr>
          <w:rFonts w:ascii="Palatino Linotype" w:eastAsia="Times New Roman" w:hAnsi="Palatino Linotype" w:cs="Calibri"/>
          <w:i/>
          <w:sz w:val="24"/>
          <w:szCs w:val="24"/>
          <w:shd w:val="clear" w:color="auto" w:fill="FFFFFF"/>
          <w:lang w:eastAsia="en-GB"/>
        </w:rPr>
        <w:t xml:space="preserve"> </w:t>
      </w:r>
      <w:r w:rsidRPr="00AB3E4B">
        <w:rPr>
          <w:rFonts w:ascii="Palatino Linotype" w:eastAsia="Times New Roman" w:hAnsi="Palatino Linotype" w:cs="Calibri"/>
          <w:i/>
          <w:sz w:val="24"/>
          <w:szCs w:val="24"/>
          <w:lang w:eastAsia="en-GB"/>
        </w:rPr>
        <w:t xml:space="preserve">I appreciate you need to consider your time on this, therefore, will give you some indication of the matters the ASSC wishes to consider.  Over and above that, I would also ask that you consider any other matters you may believe to be relevant in relation to the proposed SSI.  You will see from the Consultation response to the current Consultation, but also previous Consultation responses from the ASSC which are attached that they have sought to introduce a registration system, similar to the Landlord Registration, instead of the licensing scheme.  Their proposal is that the registration scheme is in place, and provides an exemption under the Licensing Scheme.  If an operator/host is a member of the registration scheme and can produce their registration number, they are then exempt from requiring a short term let licence.  This has not been taken up by the Scottish Government and has been largely ignored.  </w:t>
      </w:r>
    </w:p>
    <w:p w:rsidR="00763691" w:rsidRPr="00AB3E4B" w:rsidRDefault="00763691" w:rsidP="00AB3E4B">
      <w:p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Calibri"/>
          <w:i/>
          <w:sz w:val="24"/>
          <w:szCs w:val="24"/>
          <w:lang w:eastAsia="en-GB"/>
        </w:rPr>
        <w:lastRenderedPageBreak/>
        <w:t> The main questions which have arisen in relation to competency of the SSI is overprovision and the consistent reference to other pieces of legislation throughout the drafted SSI. </w:t>
      </w:r>
    </w:p>
    <w:p w:rsidR="00763691" w:rsidRPr="00AB3E4B" w:rsidRDefault="00763691" w:rsidP="00AB3E4B">
      <w:p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Calibri"/>
          <w:i/>
          <w:sz w:val="24"/>
          <w:szCs w:val="24"/>
          <w:lang w:eastAsia="en-GB"/>
        </w:rPr>
        <w:t>Overprovision is an issue as it is not clear from the SSI, as drafted, what ill the Scottish Government are seeking to cure by introducing overprovision.  The 1982 Act is very different from the Licensing (Scotland) Act 2005.  The current general licensing system in the 1982 Act, now made more robust by the introduction of Control Areas and other provisions in the proposed planning SSI, mean the two systems are quite different, but there does seem to be confusion in the mind of the Scottish Government between these systems.  For a period of time in the Written Guidance, the Scottish Government were referring to Licensing Board instead of Licensing Committee.  There are a number of other areas in the drafting, and in discussions, where it does seem clear that the Scottish Government do not fully either understand the difference between the two licensing systems or have not perhaps properly expressed that understanding into the drafting of the SSI and the Written Guidance.  There is no mischief we can see in relation to overprovision, however, if you can see a justification for overprovision, it would be useful to consider your view on this.  The question of overprovision is one of the main areas where I have identified there may be a possibility of challenging the SSI as a whole.   </w:t>
      </w:r>
    </w:p>
    <w:p w:rsidR="00763691" w:rsidRPr="00AB3E4B" w:rsidRDefault="00763691" w:rsidP="00AB3E4B">
      <w:p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Calibri"/>
          <w:i/>
          <w:sz w:val="24"/>
          <w:szCs w:val="24"/>
          <w:lang w:eastAsia="en-GB"/>
        </w:rPr>
        <w:t xml:space="preserve">Another area is the use of other legislation particularly in relation to the mandatory conditions.  There is a great deal of reference to other legislation, for example, fire safety legislation.  I have a concerns that the requirement for certain documentation to be produced in a matter of competency of an application not enforcement.  The mandatory conditions are in place and require certain documentation to be in place for the Licence could be granted.  It could be read that these documents require to be in place at application, therefore, the lack of such documents, such as a Risk Assessment or Energy Performance Certificate, would render the application not competent which would result in the licensing section returning the application to the applicant, or their agent, for the appropriate documentation to be obtained and lodged.  We do need to consider the timing of that and whether that is what the </w:t>
      </w:r>
      <w:r w:rsidRPr="00AB3E4B">
        <w:rPr>
          <w:rFonts w:ascii="Palatino Linotype" w:eastAsia="Times New Roman" w:hAnsi="Palatino Linotype" w:cs="Calibri"/>
          <w:i/>
          <w:sz w:val="24"/>
          <w:szCs w:val="24"/>
          <w:lang w:eastAsia="en-GB"/>
        </w:rPr>
        <w:lastRenderedPageBreak/>
        <w:t>mandatory conditions require.  Even if it is the case that these documents do not have to be with the application but have to be produced prior to grant, that remains a matter of competency and not of enforcement, which is not properly re</w:t>
      </w:r>
      <w:r w:rsidR="00AB3E4B">
        <w:rPr>
          <w:rFonts w:ascii="Palatino Linotype" w:eastAsia="Times New Roman" w:hAnsi="Palatino Linotype" w:cs="Calibri"/>
          <w:i/>
          <w:sz w:val="24"/>
          <w:szCs w:val="24"/>
          <w:lang w:eastAsia="en-GB"/>
        </w:rPr>
        <w:t>f</w:t>
      </w:r>
      <w:r w:rsidRPr="00AB3E4B">
        <w:rPr>
          <w:rFonts w:ascii="Palatino Linotype" w:eastAsia="Times New Roman" w:hAnsi="Palatino Linotype" w:cs="Calibri"/>
          <w:i/>
          <w:sz w:val="24"/>
          <w:szCs w:val="24"/>
          <w:lang w:eastAsia="en-GB"/>
        </w:rPr>
        <w:t>lected in the SSI and is not the view of the SG.  Andrew Mott with SG, the civil servant leading the SSI’s, has made it clear in meetings that he regards the other legislation referred to as tools to allow enforcement and is not prepared to stand corrected despite that having been raised at various meetings, including a meeting of the Law Society of Scotland Licensing Committee with the SG where he was in attendance.    </w:t>
      </w:r>
    </w:p>
    <w:p w:rsidR="00763691" w:rsidRPr="00AB3E4B" w:rsidRDefault="00763691" w:rsidP="00AB3E4B">
      <w:p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Calibri"/>
          <w:i/>
          <w:sz w:val="24"/>
          <w:szCs w:val="24"/>
          <w:lang w:eastAsia="en-GB"/>
        </w:rPr>
        <w:t xml:space="preserve">The ASSC are keen to establish that, were the SSI to be produced to the relevant Scottish Government Committee in its current form and be passed in its current form despite the issues highlighted, could there be a legal challenge to the SSI and what form would that take.  Could you confirm your anticipated fee for the Consultation and following Opinion. </w:t>
      </w:r>
    </w:p>
    <w:p w:rsidR="00763691" w:rsidRPr="00AB3E4B" w:rsidRDefault="00763691" w:rsidP="00AB3E4B">
      <w:p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Calibri"/>
          <w:i/>
          <w:sz w:val="24"/>
          <w:szCs w:val="24"/>
          <w:lang w:eastAsia="en-GB"/>
        </w:rPr>
        <w:t xml:space="preserve"> As I also discussed, I anticipate the ASSC would want to use your Opinion to place before the Committee which considered the SSI in its original form as laid.  They would want to be able to provide your Opinion to show the MSP’s on the Committee that the SSI is flawed and the reasons why it is flawed.  They would hope to use that to achieve the SSI, again being lifted, amended and re-laid.  If possible, they would hope to secure support from opposition and other MSP’s to have the proposed registration system put in place and that to act as an exemption to the licensing system.  They have some feeling that if they were able to show that the SSI was not competently drafted for a second time, the registration scheme may have more appeal as it is significantly simpler.  While the Licensing Scheme may still require to be put in place, the registration scheme would not deal with overprovision and the Licensing Scheme could be significantly simplified.  The expectation is the vast majority of short term let operators would register, thereby, resulting in a very small number of Licences being required. </w:t>
      </w:r>
    </w:p>
    <w:p w:rsidR="00763691" w:rsidRPr="00AB3E4B" w:rsidRDefault="00763691" w:rsidP="00AB3E4B">
      <w:p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Calibri"/>
          <w:i/>
          <w:sz w:val="24"/>
          <w:szCs w:val="24"/>
          <w:lang w:eastAsia="en-GB"/>
        </w:rPr>
        <w:t> Kind regards,</w:t>
      </w:r>
    </w:p>
    <w:p w:rsidR="00763691" w:rsidRPr="00AB3E4B" w:rsidRDefault="00763691" w:rsidP="00AB3E4B">
      <w:pPr>
        <w:spacing w:before="100" w:beforeAutospacing="1" w:after="100" w:afterAutospacing="1" w:line="360" w:lineRule="auto"/>
        <w:jc w:val="both"/>
        <w:rPr>
          <w:rFonts w:ascii="Palatino Linotype" w:hAnsi="Palatino Linotype"/>
          <w:sz w:val="24"/>
          <w:szCs w:val="24"/>
        </w:rPr>
      </w:pPr>
      <w:r w:rsidRPr="00AB3E4B">
        <w:rPr>
          <w:rFonts w:ascii="Palatino Linotype" w:eastAsia="Times New Roman" w:hAnsi="Palatino Linotype" w:cs="Calibri"/>
          <w:i/>
          <w:sz w:val="24"/>
          <w:szCs w:val="24"/>
          <w:lang w:eastAsia="en-GB"/>
        </w:rPr>
        <w:lastRenderedPageBreak/>
        <w:t xml:space="preserve">Jo.” </w:t>
      </w:r>
    </w:p>
    <w:p w:rsidR="00763691" w:rsidRPr="00AB3E4B" w:rsidRDefault="00251718" w:rsidP="00AB3E4B">
      <w:pPr>
        <w:spacing w:line="360" w:lineRule="auto"/>
        <w:jc w:val="both"/>
        <w:rPr>
          <w:rFonts w:ascii="Palatino Linotype" w:hAnsi="Palatino Linotype"/>
          <w:b/>
          <w:sz w:val="24"/>
          <w:szCs w:val="24"/>
        </w:rPr>
      </w:pPr>
      <w:r w:rsidRPr="00AB3E4B">
        <w:rPr>
          <w:rFonts w:ascii="Palatino Linotype" w:hAnsi="Palatino Linotype"/>
          <w:b/>
          <w:sz w:val="24"/>
          <w:szCs w:val="24"/>
        </w:rPr>
        <w:t>Issues for my consideration</w:t>
      </w:r>
    </w:p>
    <w:p w:rsidR="001A5ACB" w:rsidRPr="00AB3E4B" w:rsidRDefault="00763691" w:rsidP="00AB3E4B">
      <w:pPr>
        <w:spacing w:line="360" w:lineRule="auto"/>
        <w:jc w:val="both"/>
        <w:rPr>
          <w:rFonts w:ascii="Palatino Linotype" w:hAnsi="Palatino Linotype"/>
          <w:sz w:val="24"/>
          <w:szCs w:val="24"/>
        </w:rPr>
      </w:pPr>
      <w:r w:rsidRPr="00AB3E4B">
        <w:rPr>
          <w:rFonts w:ascii="Palatino Linotype" w:hAnsi="Palatino Linotype"/>
          <w:sz w:val="24"/>
          <w:szCs w:val="24"/>
        </w:rPr>
        <w:t>Of course th</w:t>
      </w:r>
      <w:r w:rsidR="00AB3E4B">
        <w:rPr>
          <w:rFonts w:ascii="Palatino Linotype" w:hAnsi="Palatino Linotype"/>
          <w:sz w:val="24"/>
          <w:szCs w:val="24"/>
        </w:rPr>
        <w:t>e</w:t>
      </w:r>
      <w:r w:rsidRPr="00AB3E4B">
        <w:rPr>
          <w:rFonts w:ascii="Palatino Linotype" w:hAnsi="Palatino Linotype"/>
          <w:sz w:val="24"/>
          <w:szCs w:val="24"/>
        </w:rPr>
        <w:t xml:space="preserve"> opinion</w:t>
      </w:r>
      <w:r w:rsidR="00251718" w:rsidRPr="00AB3E4B">
        <w:rPr>
          <w:rFonts w:ascii="Palatino Linotype" w:hAnsi="Palatino Linotype"/>
          <w:sz w:val="24"/>
          <w:szCs w:val="24"/>
        </w:rPr>
        <w:t>, as originally instructed,</w:t>
      </w:r>
      <w:r w:rsidRPr="00AB3E4B">
        <w:rPr>
          <w:rFonts w:ascii="Palatino Linotype" w:hAnsi="Palatino Linotype"/>
          <w:sz w:val="24"/>
          <w:szCs w:val="24"/>
        </w:rPr>
        <w:t xml:space="preserve"> was not required. </w:t>
      </w:r>
    </w:p>
    <w:p w:rsidR="00763691" w:rsidRPr="00AB3E4B" w:rsidRDefault="00763691" w:rsidP="00AB3E4B">
      <w:pPr>
        <w:spacing w:line="360" w:lineRule="auto"/>
        <w:jc w:val="both"/>
        <w:rPr>
          <w:rFonts w:ascii="Palatino Linotype" w:hAnsi="Palatino Linotype"/>
          <w:sz w:val="24"/>
          <w:szCs w:val="24"/>
        </w:rPr>
      </w:pPr>
      <w:r w:rsidRPr="00AB3E4B">
        <w:rPr>
          <w:rFonts w:ascii="Palatino Linotype" w:hAnsi="Palatino Linotype"/>
          <w:sz w:val="24"/>
          <w:szCs w:val="24"/>
        </w:rPr>
        <w:t xml:space="preserve">Matters have moved on and I understand the focus of the present </w:t>
      </w:r>
      <w:r w:rsidR="00251718" w:rsidRPr="00AB3E4B">
        <w:rPr>
          <w:rFonts w:ascii="Palatino Linotype" w:hAnsi="Palatino Linotype"/>
          <w:sz w:val="24"/>
          <w:szCs w:val="24"/>
        </w:rPr>
        <w:t>matter is the use of an over-provision test.</w:t>
      </w:r>
      <w:r w:rsidRPr="00AB3E4B">
        <w:rPr>
          <w:rFonts w:ascii="Palatino Linotype" w:hAnsi="Palatino Linotype"/>
          <w:sz w:val="24"/>
          <w:szCs w:val="24"/>
        </w:rPr>
        <w:t xml:space="preserve"> </w:t>
      </w:r>
    </w:p>
    <w:p w:rsidR="00AC606B" w:rsidRPr="00AB3E4B" w:rsidRDefault="00AC606B" w:rsidP="00AB3E4B">
      <w:pPr>
        <w:spacing w:line="360" w:lineRule="auto"/>
        <w:jc w:val="both"/>
        <w:rPr>
          <w:rFonts w:ascii="Palatino Linotype" w:hAnsi="Palatino Linotype"/>
          <w:sz w:val="24"/>
          <w:szCs w:val="24"/>
        </w:rPr>
      </w:pPr>
      <w:r w:rsidRPr="00AB3E4B">
        <w:rPr>
          <w:rFonts w:ascii="Palatino Linotype" w:hAnsi="Palatino Linotype"/>
          <w:sz w:val="24"/>
          <w:szCs w:val="24"/>
        </w:rPr>
        <w:t xml:space="preserve">The issue is whether an overprovision test can be derived from the 1982 Act. </w:t>
      </w:r>
    </w:p>
    <w:p w:rsidR="002E2524" w:rsidRPr="00AB3E4B" w:rsidRDefault="001A5ACB" w:rsidP="00AB3E4B">
      <w:pPr>
        <w:spacing w:line="360" w:lineRule="auto"/>
        <w:jc w:val="both"/>
        <w:rPr>
          <w:rFonts w:ascii="Palatino Linotype" w:hAnsi="Palatino Linotype"/>
          <w:sz w:val="24"/>
          <w:szCs w:val="24"/>
        </w:rPr>
      </w:pPr>
      <w:r w:rsidRPr="00AB3E4B">
        <w:rPr>
          <w:rFonts w:ascii="Palatino Linotype" w:hAnsi="Palatino Linotype"/>
          <w:sz w:val="24"/>
          <w:szCs w:val="24"/>
        </w:rPr>
        <w:t xml:space="preserve">In short, for the following reasons, it can.  </w:t>
      </w:r>
      <w:r w:rsidR="002E2524" w:rsidRPr="00AB3E4B">
        <w:rPr>
          <w:rFonts w:ascii="Palatino Linotype" w:hAnsi="Palatino Linotype"/>
          <w:sz w:val="24"/>
          <w:szCs w:val="24"/>
        </w:rPr>
        <w:t>However before I deal with that, it may be useful to set out the following on planning.</w:t>
      </w:r>
    </w:p>
    <w:p w:rsidR="002E2524" w:rsidRPr="00AB3E4B" w:rsidRDefault="002E2524" w:rsidP="00AB3E4B">
      <w:pPr>
        <w:spacing w:before="100" w:beforeAutospacing="1" w:after="100" w:afterAutospacing="1" w:line="360" w:lineRule="auto"/>
        <w:jc w:val="both"/>
        <w:rPr>
          <w:rFonts w:ascii="Palatino Linotype" w:eastAsia="Times New Roman" w:hAnsi="Palatino Linotype" w:cs="Arial"/>
          <w:b/>
          <w:sz w:val="24"/>
          <w:szCs w:val="24"/>
          <w:lang w:eastAsia="en-GB"/>
        </w:rPr>
      </w:pPr>
      <w:r w:rsidRPr="00AB3E4B">
        <w:rPr>
          <w:rFonts w:ascii="Palatino Linotype" w:eastAsia="Times New Roman" w:hAnsi="Palatino Linotype" w:cs="Arial"/>
          <w:b/>
          <w:sz w:val="24"/>
          <w:szCs w:val="24"/>
          <w:lang w:eastAsia="en-GB"/>
        </w:rPr>
        <w:t>Planning -Material Considerations and Non-Material Considerations</w:t>
      </w:r>
    </w:p>
    <w:p w:rsidR="002E2524" w:rsidRDefault="002E2524" w:rsidP="00AB3E4B">
      <w:pPr>
        <w:spacing w:line="360" w:lineRule="auto"/>
        <w:jc w:val="both"/>
        <w:rPr>
          <w:rFonts w:ascii="Palatino Linotype" w:hAnsi="Palatino Linotype"/>
          <w:sz w:val="24"/>
          <w:szCs w:val="24"/>
        </w:rPr>
      </w:pPr>
      <w:r w:rsidRPr="00AB3E4B">
        <w:rPr>
          <w:rFonts w:ascii="Palatino Linotype" w:hAnsi="Palatino Linotype"/>
          <w:sz w:val="24"/>
          <w:szCs w:val="24"/>
        </w:rPr>
        <w:t>Section 25 of the Town and Country Planning (Scotland) Act 1997 states that a Planning Authority’s decision on a planning application must be made in accordance with the Development Plan</w:t>
      </w:r>
      <w:r w:rsidR="00AB3E4B" w:rsidRPr="00AB3E4B">
        <w:rPr>
          <w:rFonts w:ascii="Palatino Linotype" w:hAnsi="Palatino Linotype"/>
          <w:sz w:val="24"/>
          <w:szCs w:val="24"/>
        </w:rPr>
        <w:t>, unless</w:t>
      </w:r>
      <w:r w:rsidRPr="00AB3E4B">
        <w:rPr>
          <w:rFonts w:ascii="Palatino Linotype" w:hAnsi="Palatino Linotype"/>
          <w:sz w:val="24"/>
          <w:szCs w:val="24"/>
        </w:rPr>
        <w:t xml:space="preserve"> material considerations indicate otherwise.  That is the general planning position.</w:t>
      </w:r>
    </w:p>
    <w:p w:rsidR="00AB3E4B" w:rsidRPr="00AB3E4B" w:rsidRDefault="00AB3E4B" w:rsidP="00AB3E4B">
      <w:pPr>
        <w:spacing w:before="100" w:beforeAutospacing="1" w:after="100" w:afterAutospacing="1" w:line="360" w:lineRule="auto"/>
        <w:jc w:val="both"/>
        <w:rPr>
          <w:rFonts w:ascii="Palatino Linotype" w:hAnsi="Palatino Linotype"/>
          <w:sz w:val="24"/>
          <w:szCs w:val="24"/>
        </w:rPr>
      </w:pPr>
      <w:r w:rsidRPr="00AB3E4B">
        <w:rPr>
          <w:rFonts w:ascii="Palatino Linotype" w:eastAsia="Times New Roman" w:hAnsi="Palatino Linotype" w:cs="Times New Roman"/>
          <w:sz w:val="24"/>
          <w:szCs w:val="24"/>
          <w:lang w:eastAsia="en-GB"/>
        </w:rPr>
        <w:t>SDD Circular 3/2013 contains</w:t>
      </w:r>
      <w:r w:rsidR="005303F5">
        <w:rPr>
          <w:rFonts w:ascii="Palatino Linotype" w:eastAsia="Times New Roman" w:hAnsi="Palatino Linotype" w:cs="Times New Roman"/>
          <w:sz w:val="24"/>
          <w:szCs w:val="24"/>
          <w:lang w:eastAsia="en-GB"/>
        </w:rPr>
        <w:t>,</w:t>
      </w:r>
      <w:r w:rsidRPr="00AB3E4B">
        <w:rPr>
          <w:rFonts w:ascii="Palatino Linotype" w:eastAsia="Times New Roman" w:hAnsi="Palatino Linotype" w:cs="Times New Roman"/>
          <w:sz w:val="24"/>
          <w:szCs w:val="24"/>
          <w:lang w:eastAsia="en-GB"/>
        </w:rPr>
        <w:t xml:space="preserve"> in Annex A, a useful discussion of Material Considerations in planning decision making. Ultimately though the Circular is only guidance and it is for the Courts to decide on a case by case basis what is material. That being said much of what is in the Circular reflects </w:t>
      </w:r>
      <w:r w:rsidR="005303F5">
        <w:rPr>
          <w:rFonts w:ascii="Palatino Linotype" w:eastAsia="Times New Roman" w:hAnsi="Palatino Linotype" w:cs="Times New Roman"/>
          <w:sz w:val="24"/>
          <w:szCs w:val="24"/>
          <w:lang w:eastAsia="en-GB"/>
        </w:rPr>
        <w:t>c</w:t>
      </w:r>
      <w:r w:rsidRPr="00AB3E4B">
        <w:rPr>
          <w:rFonts w:ascii="Palatino Linotype" w:eastAsia="Times New Roman" w:hAnsi="Palatino Linotype" w:cs="Times New Roman"/>
          <w:sz w:val="24"/>
          <w:szCs w:val="24"/>
          <w:lang w:eastAsia="en-GB"/>
        </w:rPr>
        <w:t xml:space="preserve">aselaw from the Courts. </w:t>
      </w:r>
    </w:p>
    <w:p w:rsidR="00AB3E4B" w:rsidRPr="00AB3E4B" w:rsidRDefault="00AB3E4B" w:rsidP="00AB3E4B">
      <w:pPr>
        <w:spacing w:before="100" w:beforeAutospacing="1" w:after="100" w:afterAutospacing="1" w:line="360" w:lineRule="auto"/>
        <w:jc w:val="both"/>
        <w:rPr>
          <w:rFonts w:ascii="Palatino Linotype" w:eastAsia="Times New Roman" w:hAnsi="Palatino Linotype" w:cs="Times New Roman"/>
          <w:bCs/>
          <w:sz w:val="24"/>
          <w:szCs w:val="24"/>
          <w:lang w:eastAsia="en-GB"/>
        </w:rPr>
      </w:pPr>
      <w:r w:rsidRPr="00AB3E4B">
        <w:rPr>
          <w:rFonts w:ascii="Palatino Linotype" w:hAnsi="Palatino Linotype"/>
          <w:sz w:val="24"/>
          <w:szCs w:val="24"/>
          <w:lang w:val="en" w:eastAsia="en-GB"/>
        </w:rPr>
        <w:t xml:space="preserve">“ </w:t>
      </w:r>
      <w:r w:rsidRPr="00AB3E4B">
        <w:rPr>
          <w:rFonts w:ascii="Palatino Linotype" w:eastAsia="Times New Roman" w:hAnsi="Palatino Linotype" w:cs="Times New Roman"/>
          <w:bCs/>
          <w:sz w:val="24"/>
          <w:szCs w:val="24"/>
          <w:lang w:eastAsia="en-GB"/>
        </w:rPr>
        <w:t>Annex A: Defining a Material Consideration</w:t>
      </w:r>
    </w:p>
    <w:p w:rsidR="00AB3E4B" w:rsidRPr="00AB3E4B" w:rsidRDefault="00AB3E4B" w:rsidP="00AB3E4B">
      <w:p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Times New Roman"/>
          <w:i/>
          <w:sz w:val="24"/>
          <w:szCs w:val="24"/>
          <w:lang w:eastAsia="en-GB"/>
        </w:rPr>
        <w:t xml:space="preserve">1. Legislation requires decisions on planning applications to be made in accordance with the development plan (and, in the case of national developments, any statement in the National Planning Framework made under section 3A(5) of the 1997 Act) unless material considerations indicate otherwise. The House of Lord's judgement on City of Edinburgh Council v the Secretary of State for Scotland (1998) provided the following interpretation. If </w:t>
      </w:r>
      <w:r w:rsidRPr="00AB3E4B">
        <w:rPr>
          <w:rFonts w:ascii="Palatino Linotype" w:eastAsia="Times New Roman" w:hAnsi="Palatino Linotype" w:cs="Times New Roman"/>
          <w:i/>
          <w:sz w:val="24"/>
          <w:szCs w:val="24"/>
          <w:lang w:eastAsia="en-GB"/>
        </w:rPr>
        <w:lastRenderedPageBreak/>
        <w:t>a proposal accords with the development plan and there are no material considerations indicating that it should be refused, permission should be granted. If the proposal does not accord with the development plan, it should be refused unless there are material considerations indicating that it should be granted.</w:t>
      </w:r>
    </w:p>
    <w:p w:rsidR="00AB3E4B" w:rsidRPr="00AB3E4B" w:rsidRDefault="00AB3E4B" w:rsidP="00AB3E4B">
      <w:p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Times New Roman"/>
          <w:i/>
          <w:sz w:val="24"/>
          <w:szCs w:val="24"/>
          <w:lang w:eastAsia="en-GB"/>
        </w:rPr>
        <w:t>2. The House of Lord's judgement also set out the following approach to deciding an application:</w:t>
      </w:r>
    </w:p>
    <w:p w:rsidR="00AB3E4B" w:rsidRPr="00AB3E4B" w:rsidRDefault="00AB3E4B" w:rsidP="00AB3E4B">
      <w:pPr>
        <w:numPr>
          <w:ilvl w:val="0"/>
          <w:numId w:val="2"/>
        </w:num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Times New Roman"/>
          <w:i/>
          <w:sz w:val="24"/>
          <w:szCs w:val="24"/>
          <w:lang w:eastAsia="en-GB"/>
        </w:rPr>
        <w:t>Identify any provisions of the development plan which are relevant to the decision,</w:t>
      </w:r>
    </w:p>
    <w:p w:rsidR="00AB3E4B" w:rsidRPr="00AB3E4B" w:rsidRDefault="00AB3E4B" w:rsidP="00AB3E4B">
      <w:pPr>
        <w:numPr>
          <w:ilvl w:val="0"/>
          <w:numId w:val="2"/>
        </w:num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Times New Roman"/>
          <w:i/>
          <w:sz w:val="24"/>
          <w:szCs w:val="24"/>
          <w:lang w:eastAsia="en-GB"/>
        </w:rPr>
        <w:t>Interpret them carefully, looking at the aims and objectives of the plan as well as detailed wording of policies,</w:t>
      </w:r>
    </w:p>
    <w:p w:rsidR="00AB3E4B" w:rsidRPr="00AB3E4B" w:rsidRDefault="00AB3E4B" w:rsidP="00AB3E4B">
      <w:pPr>
        <w:numPr>
          <w:ilvl w:val="0"/>
          <w:numId w:val="2"/>
        </w:num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Times New Roman"/>
          <w:i/>
          <w:sz w:val="24"/>
          <w:szCs w:val="24"/>
          <w:lang w:eastAsia="en-GB"/>
        </w:rPr>
        <w:t>Consider whether or not the proposal accords with the development plan,</w:t>
      </w:r>
    </w:p>
    <w:p w:rsidR="00AB3E4B" w:rsidRPr="00AB3E4B" w:rsidRDefault="00AB3E4B" w:rsidP="00AB3E4B">
      <w:pPr>
        <w:numPr>
          <w:ilvl w:val="0"/>
          <w:numId w:val="2"/>
        </w:num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Times New Roman"/>
          <w:i/>
          <w:sz w:val="24"/>
          <w:szCs w:val="24"/>
          <w:lang w:eastAsia="en-GB"/>
        </w:rPr>
        <w:t>Identify and consider relevant material considerations for and against the proposal, and</w:t>
      </w:r>
    </w:p>
    <w:p w:rsidR="00AB3E4B" w:rsidRPr="00AB3E4B" w:rsidRDefault="00AB3E4B" w:rsidP="00AB3E4B">
      <w:pPr>
        <w:numPr>
          <w:ilvl w:val="0"/>
          <w:numId w:val="2"/>
        </w:num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Times New Roman"/>
          <w:i/>
          <w:sz w:val="24"/>
          <w:szCs w:val="24"/>
          <w:lang w:eastAsia="en-GB"/>
        </w:rPr>
        <w:t>Assess whether these considerations warrant a departure from the development plan.</w:t>
      </w:r>
    </w:p>
    <w:p w:rsidR="00AB3E4B" w:rsidRPr="00AB3E4B" w:rsidRDefault="00AB3E4B" w:rsidP="00AB3E4B">
      <w:p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Times New Roman"/>
          <w:i/>
          <w:sz w:val="24"/>
          <w:szCs w:val="24"/>
          <w:lang w:eastAsia="en-GB"/>
        </w:rPr>
        <w:t>3. There are two main tests in deciding whether a consideration is material and relevant:</w:t>
      </w:r>
    </w:p>
    <w:p w:rsidR="00AB3E4B" w:rsidRPr="00AB3E4B" w:rsidRDefault="00AB3E4B" w:rsidP="00AB3E4B">
      <w:pPr>
        <w:numPr>
          <w:ilvl w:val="0"/>
          <w:numId w:val="3"/>
        </w:num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Times New Roman"/>
          <w:i/>
          <w:sz w:val="24"/>
          <w:szCs w:val="24"/>
          <w:lang w:eastAsia="en-GB"/>
        </w:rPr>
        <w:t>It should serve or be related to the purpose of planning. It should therefore relate to the development and use of land, and</w:t>
      </w:r>
    </w:p>
    <w:p w:rsidR="00AB3E4B" w:rsidRPr="00AB3E4B" w:rsidRDefault="00AB3E4B" w:rsidP="00AB3E4B">
      <w:pPr>
        <w:numPr>
          <w:ilvl w:val="0"/>
          <w:numId w:val="3"/>
        </w:num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Times New Roman"/>
          <w:i/>
          <w:sz w:val="24"/>
          <w:szCs w:val="24"/>
          <w:lang w:eastAsia="en-GB"/>
        </w:rPr>
        <w:t>It should relate to the particular application.</w:t>
      </w:r>
    </w:p>
    <w:p w:rsidR="00AB3E4B" w:rsidRPr="00AB3E4B" w:rsidRDefault="00AB3E4B" w:rsidP="00AB3E4B">
      <w:p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Times New Roman"/>
          <w:i/>
          <w:sz w:val="24"/>
          <w:szCs w:val="24"/>
          <w:lang w:eastAsia="en-GB"/>
        </w:rPr>
        <w:t>4. The decision maker will have to decide what considerations it considers are material to the determination of the application. However, the question of whether or not a consideration is a material consideration is a question of law and so something which is ultimately for the courts to determine. It is for the decision maker to assess both the weight to be attached to each material consideration and whether individually or together they are sufficient to outweigh the development plan. Where development plan policies are not directly relevant to the development proposal, material considerations will be of particular importance.</w:t>
      </w:r>
    </w:p>
    <w:p w:rsidR="00AB3E4B" w:rsidRPr="00AB3E4B" w:rsidRDefault="00AB3E4B" w:rsidP="00AB3E4B">
      <w:p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Times New Roman"/>
          <w:i/>
          <w:sz w:val="24"/>
          <w:szCs w:val="24"/>
          <w:lang w:eastAsia="en-GB"/>
        </w:rPr>
        <w:lastRenderedPageBreak/>
        <w:t>5. The range of considerations which might be considered material in planning terms is very wide and can only be determined in the context of each case. Examples of possible material considerations include:</w:t>
      </w:r>
    </w:p>
    <w:p w:rsidR="00AB3E4B" w:rsidRPr="00AB3E4B" w:rsidRDefault="00AB3E4B" w:rsidP="00AB3E4B">
      <w:pPr>
        <w:spacing w:before="100" w:beforeAutospacing="1" w:after="100" w:afterAutospacing="1"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Times New Roman"/>
          <w:i/>
          <w:sz w:val="24"/>
          <w:szCs w:val="24"/>
          <w:lang w:eastAsia="en-GB"/>
        </w:rPr>
        <w:t>……</w:t>
      </w:r>
    </w:p>
    <w:p w:rsidR="00AB3E4B" w:rsidRPr="00AB3E4B" w:rsidRDefault="00AB3E4B" w:rsidP="00AB3E4B">
      <w:pPr>
        <w:spacing w:line="360" w:lineRule="auto"/>
        <w:jc w:val="both"/>
        <w:rPr>
          <w:rFonts w:ascii="Palatino Linotype" w:hAnsi="Palatino Linotype"/>
          <w:b/>
          <w:color w:val="000000" w:themeColor="text1"/>
          <w:sz w:val="24"/>
          <w:szCs w:val="24"/>
        </w:rPr>
      </w:pPr>
      <w:r w:rsidRPr="00AB3E4B">
        <w:rPr>
          <w:rFonts w:ascii="Palatino Linotype" w:hAnsi="Palatino Linotype"/>
          <w:b/>
          <w:color w:val="000000" w:themeColor="text1"/>
          <w:sz w:val="24"/>
          <w:szCs w:val="24"/>
        </w:rPr>
        <w:t xml:space="preserve">Compatibility with existing uses, e.g. the mix of uses found in town centres, such as shops, offices and cafes, can be mutually beneficial </w:t>
      </w:r>
    </w:p>
    <w:p w:rsidR="00AB3E4B" w:rsidRPr="00AB3E4B" w:rsidRDefault="00AB3E4B" w:rsidP="00AB3E4B">
      <w:pPr>
        <w:spacing w:line="360" w:lineRule="auto"/>
        <w:jc w:val="both"/>
        <w:rPr>
          <w:rFonts w:ascii="Palatino Linotype" w:hAnsi="Palatino Linotype"/>
          <w:b/>
          <w:color w:val="000000" w:themeColor="text1"/>
          <w:sz w:val="24"/>
          <w:szCs w:val="24"/>
        </w:rPr>
      </w:pPr>
      <w:r w:rsidRPr="00AB3E4B">
        <w:rPr>
          <w:rFonts w:ascii="Palatino Linotype" w:hAnsi="Palatino Linotype"/>
          <w:b/>
          <w:color w:val="000000" w:themeColor="text1"/>
          <w:sz w:val="24"/>
          <w:szCs w:val="24"/>
        </w:rPr>
        <w:t xml:space="preserve">- Economic benefits, e.g. creation of jobs </w:t>
      </w:r>
    </w:p>
    <w:p w:rsidR="00AB3E4B" w:rsidRPr="00AB3E4B" w:rsidRDefault="00AB3E4B" w:rsidP="00AB3E4B">
      <w:pPr>
        <w:spacing w:line="360" w:lineRule="auto"/>
        <w:jc w:val="both"/>
        <w:rPr>
          <w:rFonts w:ascii="Palatino Linotype" w:hAnsi="Palatino Linotype"/>
          <w:sz w:val="24"/>
          <w:szCs w:val="24"/>
        </w:rPr>
      </w:pPr>
      <w:r w:rsidRPr="00AB3E4B">
        <w:rPr>
          <w:rFonts w:ascii="Palatino Linotype" w:hAnsi="Palatino Linotype"/>
          <w:sz w:val="24"/>
          <w:szCs w:val="24"/>
        </w:rPr>
        <w:t xml:space="preserve">- </w:t>
      </w:r>
      <w:r w:rsidRPr="00AB3E4B">
        <w:rPr>
          <w:rFonts w:ascii="Palatino Linotype" w:hAnsi="Palatino Linotype"/>
          <w:b/>
          <w:sz w:val="24"/>
          <w:szCs w:val="24"/>
        </w:rPr>
        <w:t>The needs of an area (employment, commercial, social or leisure facilities, affordable housing)</w:t>
      </w:r>
      <w:r w:rsidRPr="00AB3E4B">
        <w:rPr>
          <w:rFonts w:ascii="Palatino Linotype" w:hAnsi="Palatino Linotype"/>
          <w:sz w:val="24"/>
          <w:szCs w:val="24"/>
        </w:rPr>
        <w:t xml:space="preserve"> …..</w:t>
      </w:r>
      <w:r w:rsidR="005303F5">
        <w:rPr>
          <w:rFonts w:ascii="Palatino Linotype" w:hAnsi="Palatino Linotype"/>
          <w:sz w:val="24"/>
          <w:szCs w:val="24"/>
        </w:rPr>
        <w:t>”</w:t>
      </w:r>
    </w:p>
    <w:p w:rsidR="00AB3E4B" w:rsidRPr="00AB3E4B" w:rsidRDefault="00AB3E4B" w:rsidP="00AB3E4B">
      <w:pPr>
        <w:spacing w:line="360" w:lineRule="auto"/>
        <w:jc w:val="both"/>
        <w:rPr>
          <w:rFonts w:ascii="Palatino Linotype" w:hAnsi="Palatino Linotype"/>
          <w:sz w:val="24"/>
          <w:szCs w:val="24"/>
        </w:rPr>
      </w:pPr>
      <w:r w:rsidRPr="00AB3E4B">
        <w:rPr>
          <w:rFonts w:ascii="Palatino Linotype" w:hAnsi="Palatino Linotype"/>
          <w:sz w:val="24"/>
          <w:szCs w:val="24"/>
        </w:rPr>
        <w:t xml:space="preserve">Accordingly the planning system already recognises that housing and related needs </w:t>
      </w:r>
      <w:r w:rsidRPr="00AB3E4B">
        <w:rPr>
          <w:rFonts w:ascii="Palatino Linotype" w:hAnsi="Palatino Linotype"/>
          <w:i/>
          <w:sz w:val="24"/>
          <w:szCs w:val="24"/>
        </w:rPr>
        <w:t>can</w:t>
      </w:r>
      <w:r w:rsidRPr="00AB3E4B">
        <w:rPr>
          <w:rFonts w:ascii="Palatino Linotype" w:hAnsi="Palatino Linotype"/>
          <w:sz w:val="24"/>
          <w:szCs w:val="24"/>
        </w:rPr>
        <w:t xml:space="preserve"> be planning considerations. An application for planning consent under section 26B </w:t>
      </w:r>
      <w:r w:rsidRPr="00AB3E4B">
        <w:rPr>
          <w:rFonts w:ascii="Palatino Linotype" w:hAnsi="Palatino Linotype"/>
          <w:i/>
          <w:sz w:val="24"/>
          <w:szCs w:val="24"/>
        </w:rPr>
        <w:t xml:space="preserve">may </w:t>
      </w:r>
      <w:r w:rsidRPr="00AB3E4B">
        <w:rPr>
          <w:rFonts w:ascii="Palatino Linotype" w:hAnsi="Palatino Linotype"/>
          <w:sz w:val="24"/>
          <w:szCs w:val="24"/>
        </w:rPr>
        <w:t>engage considerations of relative housing need</w:t>
      </w:r>
      <w:r>
        <w:rPr>
          <w:rFonts w:ascii="Palatino Linotype" w:hAnsi="Palatino Linotype"/>
          <w:sz w:val="24"/>
          <w:szCs w:val="24"/>
        </w:rPr>
        <w:t xml:space="preserve"> and pressure on local housing availability</w:t>
      </w:r>
      <w:r w:rsidRPr="00AB3E4B">
        <w:rPr>
          <w:rFonts w:ascii="Palatino Linotype" w:hAnsi="Palatino Linotype"/>
          <w:sz w:val="24"/>
          <w:szCs w:val="24"/>
        </w:rPr>
        <w:t xml:space="preserve">.  </w:t>
      </w:r>
    </w:p>
    <w:p w:rsidR="002E2524" w:rsidRPr="00AB3E4B" w:rsidRDefault="002E2524" w:rsidP="00AB3E4B">
      <w:pPr>
        <w:spacing w:line="360" w:lineRule="auto"/>
        <w:jc w:val="both"/>
        <w:rPr>
          <w:rFonts w:ascii="Palatino Linotype" w:hAnsi="Palatino Linotype"/>
          <w:sz w:val="24"/>
          <w:szCs w:val="24"/>
        </w:rPr>
      </w:pPr>
      <w:r w:rsidRPr="00AB3E4B">
        <w:rPr>
          <w:rFonts w:ascii="Palatino Linotype" w:hAnsi="Palatino Linotype"/>
          <w:sz w:val="24"/>
          <w:szCs w:val="24"/>
        </w:rPr>
        <w:t>Section 26B of that Act covers STL let control areas. Of note as regards  planning permission and paragraph 13 of the</w:t>
      </w:r>
      <w:r w:rsidR="00AB3E4B">
        <w:rPr>
          <w:rFonts w:ascii="Palatino Linotype" w:hAnsi="Palatino Linotype"/>
          <w:sz w:val="24"/>
          <w:szCs w:val="24"/>
        </w:rPr>
        <w:t xml:space="preserve"> proposed </w:t>
      </w:r>
      <w:r w:rsidRPr="00AB3E4B">
        <w:rPr>
          <w:rFonts w:ascii="Palatino Linotype" w:hAnsi="Palatino Linotype"/>
          <w:sz w:val="24"/>
          <w:szCs w:val="24"/>
        </w:rPr>
        <w:t>SSI</w:t>
      </w:r>
      <w:r w:rsidR="00AB3E4B">
        <w:rPr>
          <w:rFonts w:ascii="Palatino Linotype" w:hAnsi="Palatino Linotype"/>
          <w:sz w:val="24"/>
          <w:szCs w:val="24"/>
        </w:rPr>
        <w:t xml:space="preserve"> on STL</w:t>
      </w:r>
      <w:r w:rsidR="005303F5">
        <w:rPr>
          <w:rFonts w:ascii="Palatino Linotype" w:hAnsi="Palatino Linotype"/>
          <w:sz w:val="24"/>
          <w:szCs w:val="24"/>
        </w:rPr>
        <w:t xml:space="preserve"> licensing</w:t>
      </w:r>
      <w:r w:rsidR="00AB3E4B">
        <w:rPr>
          <w:rFonts w:ascii="Palatino Linotype" w:hAnsi="Palatino Linotype"/>
          <w:sz w:val="24"/>
          <w:szCs w:val="24"/>
        </w:rPr>
        <w:t xml:space="preserve">, this </w:t>
      </w:r>
      <w:r w:rsidRPr="00AB3E4B">
        <w:rPr>
          <w:rFonts w:ascii="Palatino Linotype" w:hAnsi="Palatino Linotype"/>
          <w:sz w:val="24"/>
          <w:szCs w:val="24"/>
        </w:rPr>
        <w:t xml:space="preserve">obliges an STL </w:t>
      </w:r>
      <w:r w:rsidR="00AB3E4B">
        <w:rPr>
          <w:rFonts w:ascii="Palatino Linotype" w:hAnsi="Palatino Linotype"/>
          <w:sz w:val="24"/>
          <w:szCs w:val="24"/>
        </w:rPr>
        <w:t xml:space="preserve">applicant / </w:t>
      </w:r>
      <w:r w:rsidRPr="00AB3E4B">
        <w:rPr>
          <w:rFonts w:ascii="Palatino Linotype" w:hAnsi="Palatino Linotype"/>
          <w:sz w:val="24"/>
          <w:szCs w:val="24"/>
        </w:rPr>
        <w:t>operator to have made an application for planning permission (paragraph 13(a) or that they already have it (paragraph 13(b)).</w:t>
      </w:r>
    </w:p>
    <w:p w:rsidR="002E2524" w:rsidRPr="00AB3E4B" w:rsidRDefault="002E2524" w:rsidP="00AB3E4B">
      <w:pPr>
        <w:spacing w:line="360" w:lineRule="auto"/>
        <w:jc w:val="both"/>
        <w:rPr>
          <w:rFonts w:ascii="Palatino Linotype" w:hAnsi="Palatino Linotype"/>
          <w:sz w:val="24"/>
          <w:szCs w:val="24"/>
        </w:rPr>
      </w:pPr>
      <w:r w:rsidRPr="00AB3E4B">
        <w:rPr>
          <w:rFonts w:ascii="Palatino Linotype" w:hAnsi="Palatino Linotype"/>
          <w:sz w:val="24"/>
          <w:szCs w:val="24"/>
        </w:rPr>
        <w:t xml:space="preserve">It must also be understood that section 26B is a provision which allows an area to be deemed an STL let control area i.e. an STL will require planning permission.  </w:t>
      </w:r>
    </w:p>
    <w:p w:rsidR="002E2524" w:rsidRPr="00AB3E4B" w:rsidRDefault="002E2524" w:rsidP="00AB3E4B">
      <w:pPr>
        <w:spacing w:line="360" w:lineRule="auto"/>
        <w:jc w:val="both"/>
        <w:rPr>
          <w:rFonts w:ascii="Palatino Linotype" w:hAnsi="Palatino Linotype"/>
          <w:sz w:val="24"/>
          <w:szCs w:val="24"/>
        </w:rPr>
      </w:pPr>
      <w:r w:rsidRPr="00AB3E4B">
        <w:rPr>
          <w:rFonts w:ascii="Palatino Linotype" w:hAnsi="Palatino Linotype"/>
          <w:sz w:val="24"/>
          <w:szCs w:val="24"/>
        </w:rPr>
        <w:t xml:space="preserve">Of course not all STL applications will be in STL let control areas and so even if need was a matter for the planners, not licensing, the section 26B system does not extend to all localities within which STLs might seek to operate. That is an argument </w:t>
      </w:r>
      <w:r w:rsidRPr="005303F5">
        <w:rPr>
          <w:rFonts w:ascii="Palatino Linotype" w:hAnsi="Palatino Linotype"/>
          <w:b/>
          <w:sz w:val="24"/>
          <w:szCs w:val="24"/>
        </w:rPr>
        <w:t>in favour</w:t>
      </w:r>
      <w:r w:rsidRPr="00AB3E4B">
        <w:rPr>
          <w:rFonts w:ascii="Palatino Linotype" w:hAnsi="Palatino Linotype"/>
          <w:sz w:val="24"/>
          <w:szCs w:val="24"/>
        </w:rPr>
        <w:t xml:space="preserve"> of a licensing control on overprovision at least as regards STLs </w:t>
      </w:r>
      <w:r w:rsidRPr="00AB3E4B">
        <w:rPr>
          <w:rFonts w:ascii="Palatino Linotype" w:hAnsi="Palatino Linotype"/>
          <w:b/>
          <w:sz w:val="24"/>
          <w:szCs w:val="24"/>
        </w:rPr>
        <w:t>not</w:t>
      </w:r>
      <w:r w:rsidRPr="00AB3E4B">
        <w:rPr>
          <w:rFonts w:ascii="Palatino Linotype" w:hAnsi="Palatino Linotype"/>
          <w:sz w:val="24"/>
          <w:szCs w:val="24"/>
        </w:rPr>
        <w:t xml:space="preserve"> in let control areas. </w:t>
      </w:r>
    </w:p>
    <w:p w:rsidR="002E2524" w:rsidRPr="00AB3E4B" w:rsidRDefault="002E2524" w:rsidP="00AB3E4B">
      <w:pPr>
        <w:spacing w:line="360" w:lineRule="auto"/>
        <w:jc w:val="both"/>
        <w:rPr>
          <w:rFonts w:ascii="Palatino Linotype" w:hAnsi="Palatino Linotype"/>
          <w:sz w:val="24"/>
          <w:szCs w:val="24"/>
        </w:rPr>
      </w:pPr>
      <w:r w:rsidRPr="00AB3E4B">
        <w:rPr>
          <w:rFonts w:ascii="Palatino Linotype" w:hAnsi="Palatino Linotype"/>
          <w:sz w:val="24"/>
          <w:szCs w:val="24"/>
        </w:rPr>
        <w:lastRenderedPageBreak/>
        <w:t xml:space="preserve">It should </w:t>
      </w:r>
      <w:r w:rsidR="00AB3E4B">
        <w:rPr>
          <w:rFonts w:ascii="Palatino Linotype" w:hAnsi="Palatino Linotype"/>
          <w:sz w:val="24"/>
          <w:szCs w:val="24"/>
        </w:rPr>
        <w:t xml:space="preserve">though </w:t>
      </w:r>
      <w:r w:rsidRPr="00AB3E4B">
        <w:rPr>
          <w:rFonts w:ascii="Palatino Linotype" w:hAnsi="Palatino Linotype"/>
          <w:sz w:val="24"/>
          <w:szCs w:val="24"/>
        </w:rPr>
        <w:t xml:space="preserve">be noted that under section 26B(5), the definition of an STL may differ from that in the STL licensing system and in any event Regulations are still to be made under section 26B(6). </w:t>
      </w:r>
      <w:r w:rsidR="00AB3E4B">
        <w:rPr>
          <w:rFonts w:ascii="Palatino Linotype" w:hAnsi="Palatino Linotype"/>
          <w:sz w:val="24"/>
          <w:szCs w:val="24"/>
        </w:rPr>
        <w:t xml:space="preserve"> </w:t>
      </w:r>
      <w:r w:rsidRPr="00AB3E4B">
        <w:rPr>
          <w:rFonts w:ascii="Palatino Linotype" w:hAnsi="Palatino Linotype"/>
          <w:sz w:val="24"/>
          <w:szCs w:val="24"/>
        </w:rPr>
        <w:t xml:space="preserve">It has to be borne in mind though that in the liquor licensing system the existence of planning permission for a pub did not mean that, for the purposes of  licensing overprovision , a  </w:t>
      </w:r>
      <w:r w:rsidR="005303F5">
        <w:rPr>
          <w:rFonts w:ascii="Palatino Linotype" w:hAnsi="Palatino Linotype"/>
          <w:sz w:val="24"/>
          <w:szCs w:val="24"/>
        </w:rPr>
        <w:t>Licensing</w:t>
      </w:r>
      <w:r w:rsidRPr="00AB3E4B">
        <w:rPr>
          <w:rFonts w:ascii="Palatino Linotype" w:hAnsi="Palatino Linotype"/>
          <w:sz w:val="24"/>
          <w:szCs w:val="24"/>
        </w:rPr>
        <w:t xml:space="preserve"> Board was obliged to grant a licence. </w:t>
      </w:r>
    </w:p>
    <w:p w:rsidR="002E2524" w:rsidRPr="00AB3E4B" w:rsidRDefault="002E2524" w:rsidP="00AB3E4B">
      <w:pPr>
        <w:spacing w:line="360" w:lineRule="auto"/>
        <w:jc w:val="both"/>
        <w:rPr>
          <w:rFonts w:ascii="Palatino Linotype" w:hAnsi="Palatino Linotype"/>
          <w:sz w:val="24"/>
          <w:szCs w:val="24"/>
        </w:rPr>
      </w:pPr>
      <w:r w:rsidRPr="00AB3E4B">
        <w:rPr>
          <w:rFonts w:ascii="Palatino Linotype" w:hAnsi="Palatino Linotype"/>
          <w:sz w:val="24"/>
          <w:szCs w:val="24"/>
        </w:rPr>
        <w:t>Overprovision is not the same as planning merit and indeed under the STL system it is a “given” that an operator in a STL let control area must, as a condition of their licence, have</w:t>
      </w:r>
      <w:r w:rsidR="005303F5">
        <w:rPr>
          <w:rFonts w:ascii="Palatino Linotype" w:hAnsi="Palatino Linotype"/>
          <w:sz w:val="24"/>
          <w:szCs w:val="24"/>
        </w:rPr>
        <w:t xml:space="preserve">, </w:t>
      </w:r>
      <w:r w:rsidRPr="00AB3E4B">
        <w:rPr>
          <w:rFonts w:ascii="Palatino Linotype" w:hAnsi="Palatino Linotype"/>
          <w:sz w:val="24"/>
          <w:szCs w:val="24"/>
        </w:rPr>
        <w:t xml:space="preserve">or be applying for such permission. </w:t>
      </w:r>
      <w:r w:rsidR="00AB3E4B">
        <w:rPr>
          <w:rFonts w:ascii="Palatino Linotype" w:hAnsi="Palatino Linotype"/>
          <w:sz w:val="24"/>
          <w:szCs w:val="24"/>
        </w:rPr>
        <w:t xml:space="preserve"> </w:t>
      </w:r>
      <w:r w:rsidRPr="00AB3E4B">
        <w:rPr>
          <w:rFonts w:ascii="Palatino Linotype" w:hAnsi="Palatino Linotype"/>
          <w:sz w:val="24"/>
          <w:szCs w:val="24"/>
        </w:rPr>
        <w:t xml:space="preserve">The </w:t>
      </w:r>
      <w:r w:rsidR="00AB3E4B">
        <w:rPr>
          <w:rFonts w:ascii="Palatino Linotype" w:hAnsi="Palatino Linotype"/>
          <w:sz w:val="24"/>
          <w:szCs w:val="24"/>
        </w:rPr>
        <w:t>STL</w:t>
      </w:r>
      <w:r w:rsidRPr="00AB3E4B">
        <w:rPr>
          <w:rFonts w:ascii="Palatino Linotype" w:hAnsi="Palatino Linotype"/>
          <w:sz w:val="24"/>
          <w:szCs w:val="24"/>
        </w:rPr>
        <w:t xml:space="preserve"> SSI does therefore expressly recognise that in licensing terms there is a link to the separate planning system.</w:t>
      </w:r>
    </w:p>
    <w:p w:rsidR="002E2524" w:rsidRPr="00AB3E4B" w:rsidRDefault="002E2524" w:rsidP="00AB3E4B">
      <w:pPr>
        <w:spacing w:line="360" w:lineRule="auto"/>
        <w:jc w:val="both"/>
        <w:rPr>
          <w:rFonts w:ascii="Palatino Linotype" w:hAnsi="Palatino Linotype"/>
          <w:sz w:val="24"/>
          <w:szCs w:val="24"/>
        </w:rPr>
      </w:pPr>
      <w:r w:rsidRPr="00AB3E4B">
        <w:rPr>
          <w:rFonts w:ascii="Palatino Linotype" w:hAnsi="Palatino Linotype"/>
          <w:sz w:val="24"/>
          <w:szCs w:val="24"/>
        </w:rPr>
        <w:t xml:space="preserve">Moreover it can be maintained that </w:t>
      </w:r>
      <w:r w:rsidRPr="00AB3E4B">
        <w:rPr>
          <w:rFonts w:ascii="Palatino Linotype" w:hAnsi="Palatino Linotype"/>
          <w:i/>
          <w:sz w:val="24"/>
          <w:szCs w:val="24"/>
        </w:rPr>
        <w:t>need</w:t>
      </w:r>
      <w:r w:rsidRPr="00AB3E4B">
        <w:rPr>
          <w:rFonts w:ascii="Palatino Linotype" w:hAnsi="Palatino Linotype"/>
          <w:sz w:val="24"/>
          <w:szCs w:val="24"/>
        </w:rPr>
        <w:t xml:space="preserve"> as a planning consideration does not necessarily exhaust scope for consideration of overprovision as a separate STL consideration.  Overprovision is   not the same as demand or need or lack of need.  The decision to designate a locality as a let control area may point to a planning view that planning permission is needed given the proliferation of STLs, but that may not raise quite the same issues as a licensing test of overprovision. </w:t>
      </w:r>
    </w:p>
    <w:p w:rsidR="002E2524" w:rsidRPr="00AB3E4B" w:rsidRDefault="002E2524" w:rsidP="00AB3E4B">
      <w:pPr>
        <w:spacing w:line="360" w:lineRule="auto"/>
        <w:jc w:val="both"/>
        <w:rPr>
          <w:rFonts w:ascii="Palatino Linotype" w:hAnsi="Palatino Linotype"/>
          <w:sz w:val="24"/>
          <w:szCs w:val="24"/>
        </w:rPr>
      </w:pPr>
      <w:r w:rsidRPr="00AB3E4B">
        <w:rPr>
          <w:rFonts w:ascii="Palatino Linotype" w:hAnsi="Palatino Linotype"/>
          <w:sz w:val="24"/>
          <w:szCs w:val="24"/>
        </w:rPr>
        <w:t>While planning merits might include issues such as local housing supply issues (whether in favour of STLs or pointing the other way), a licensing authority is not bound by assessments of need made by the planning authority for planning purposes).</w:t>
      </w:r>
    </w:p>
    <w:p w:rsidR="002E2524" w:rsidRPr="00AB3E4B" w:rsidRDefault="002E2524" w:rsidP="00AB3E4B">
      <w:pPr>
        <w:spacing w:line="360" w:lineRule="auto"/>
        <w:jc w:val="both"/>
        <w:rPr>
          <w:rFonts w:ascii="Palatino Linotype" w:hAnsi="Palatino Linotype"/>
          <w:sz w:val="24"/>
          <w:szCs w:val="24"/>
        </w:rPr>
      </w:pPr>
      <w:r w:rsidRPr="00AB3E4B">
        <w:rPr>
          <w:rFonts w:ascii="Palatino Linotype" w:hAnsi="Palatino Linotype"/>
          <w:sz w:val="24"/>
          <w:szCs w:val="24"/>
        </w:rPr>
        <w:t xml:space="preserve"> It can</w:t>
      </w:r>
      <w:r w:rsidR="005303F5">
        <w:rPr>
          <w:rFonts w:ascii="Palatino Linotype" w:hAnsi="Palatino Linotype"/>
          <w:sz w:val="24"/>
          <w:szCs w:val="24"/>
        </w:rPr>
        <w:t>,</w:t>
      </w:r>
      <w:r w:rsidRPr="00AB3E4B">
        <w:rPr>
          <w:rFonts w:ascii="Palatino Linotype" w:hAnsi="Palatino Linotype"/>
          <w:sz w:val="24"/>
          <w:szCs w:val="24"/>
        </w:rPr>
        <w:t xml:space="preserve"> if there is a sufficient basis for it, take a different view. While the scope for taking a different view may often be quite narrow, nevertheless that scope exists. Whether it </w:t>
      </w:r>
      <w:r w:rsidRPr="005303F5">
        <w:rPr>
          <w:rFonts w:ascii="Palatino Linotype" w:hAnsi="Palatino Linotype"/>
          <w:i/>
          <w:sz w:val="24"/>
          <w:szCs w:val="24"/>
        </w:rPr>
        <w:t>should</w:t>
      </w:r>
      <w:r w:rsidRPr="00AB3E4B">
        <w:rPr>
          <w:rFonts w:ascii="Palatino Linotype" w:hAnsi="Palatino Linotype"/>
          <w:sz w:val="24"/>
          <w:szCs w:val="24"/>
        </w:rPr>
        <w:t xml:space="preserve"> exist is another matter but that would require legislative provision to exclude</w:t>
      </w:r>
      <w:r w:rsidR="005303F5">
        <w:rPr>
          <w:rFonts w:ascii="Palatino Linotype" w:hAnsi="Palatino Linotype"/>
          <w:sz w:val="24"/>
          <w:szCs w:val="24"/>
        </w:rPr>
        <w:t xml:space="preserve"> overprovision from</w:t>
      </w:r>
      <w:r w:rsidRPr="00AB3E4B">
        <w:rPr>
          <w:rFonts w:ascii="Palatino Linotype" w:hAnsi="Palatino Linotype"/>
          <w:sz w:val="24"/>
          <w:szCs w:val="24"/>
        </w:rPr>
        <w:t xml:space="preserve"> licensing.</w:t>
      </w:r>
    </w:p>
    <w:p w:rsidR="002E2524" w:rsidRPr="00AB3E4B" w:rsidRDefault="002E2524" w:rsidP="00AB3E4B">
      <w:pPr>
        <w:spacing w:line="360" w:lineRule="auto"/>
        <w:jc w:val="both"/>
        <w:rPr>
          <w:rFonts w:ascii="Palatino Linotype" w:hAnsi="Palatino Linotype"/>
          <w:sz w:val="24"/>
          <w:szCs w:val="24"/>
        </w:rPr>
      </w:pPr>
      <w:r w:rsidRPr="00AB3E4B">
        <w:rPr>
          <w:rFonts w:ascii="Palatino Linotype" w:hAnsi="Palatino Linotype"/>
          <w:sz w:val="24"/>
          <w:szCs w:val="24"/>
        </w:rPr>
        <w:t xml:space="preserve">Although I believe that in law an argument can be made that overprovision as a licensing consideration is a </w:t>
      </w:r>
      <w:r w:rsidR="00F23A3B" w:rsidRPr="00AB3E4B">
        <w:rPr>
          <w:rFonts w:ascii="Palatino Linotype" w:hAnsi="Palatino Linotype"/>
          <w:sz w:val="24"/>
          <w:szCs w:val="24"/>
        </w:rPr>
        <w:t xml:space="preserve">separate matter from planning consent in a let control </w:t>
      </w:r>
      <w:r w:rsidR="00F23A3B" w:rsidRPr="00AB3E4B">
        <w:rPr>
          <w:rFonts w:ascii="Palatino Linotype" w:hAnsi="Palatino Linotype"/>
          <w:sz w:val="24"/>
          <w:szCs w:val="24"/>
        </w:rPr>
        <w:lastRenderedPageBreak/>
        <w:t>area under section 26B, whether that is a desirable or sufficiently workable outcome might be a matter for debate.</w:t>
      </w:r>
    </w:p>
    <w:p w:rsidR="00F23A3B" w:rsidRPr="00AB3E4B" w:rsidRDefault="002E2524" w:rsidP="00AB3E4B">
      <w:pPr>
        <w:spacing w:line="360" w:lineRule="auto"/>
        <w:jc w:val="both"/>
        <w:rPr>
          <w:rFonts w:ascii="Palatino Linotype" w:hAnsi="Palatino Linotype"/>
          <w:sz w:val="24"/>
          <w:szCs w:val="24"/>
        </w:rPr>
      </w:pPr>
      <w:r w:rsidRPr="00AB3E4B">
        <w:rPr>
          <w:rFonts w:ascii="Palatino Linotype" w:hAnsi="Palatino Linotype"/>
          <w:sz w:val="24"/>
          <w:szCs w:val="24"/>
        </w:rPr>
        <w:t>It is perfectly open to argument that given the use of let control areas and the section 26B system it is not necessary for the licensing system to consider overprovision</w:t>
      </w:r>
      <w:r w:rsidR="00F23A3B" w:rsidRPr="00AB3E4B">
        <w:rPr>
          <w:rFonts w:ascii="Palatino Linotype" w:hAnsi="Palatino Linotype"/>
          <w:sz w:val="24"/>
          <w:szCs w:val="24"/>
        </w:rPr>
        <w:t xml:space="preserve"> as the issues are so closely linked that in substance the role of the licensing authority on overprovision is very limited-if indeed necessary.</w:t>
      </w:r>
    </w:p>
    <w:p w:rsidR="00F23A3B" w:rsidRPr="00AB3E4B" w:rsidRDefault="00F23A3B" w:rsidP="00AB3E4B">
      <w:pPr>
        <w:spacing w:line="360" w:lineRule="auto"/>
        <w:jc w:val="both"/>
        <w:rPr>
          <w:rFonts w:ascii="Palatino Linotype" w:hAnsi="Palatino Linotype"/>
          <w:b/>
          <w:sz w:val="24"/>
          <w:szCs w:val="24"/>
        </w:rPr>
      </w:pPr>
      <w:r w:rsidRPr="00AB3E4B">
        <w:rPr>
          <w:rFonts w:ascii="Palatino Linotype" w:hAnsi="Palatino Linotype"/>
          <w:b/>
          <w:sz w:val="24"/>
          <w:szCs w:val="24"/>
        </w:rPr>
        <w:t>I express that as a policy argument not as an argument compelled by law.</w:t>
      </w:r>
    </w:p>
    <w:p w:rsidR="002E2524" w:rsidRPr="00AB3E4B" w:rsidRDefault="00F23A3B" w:rsidP="00AB3E4B">
      <w:pPr>
        <w:spacing w:line="360" w:lineRule="auto"/>
        <w:jc w:val="both"/>
        <w:rPr>
          <w:rFonts w:ascii="Palatino Linotype" w:hAnsi="Palatino Linotype"/>
          <w:sz w:val="24"/>
          <w:szCs w:val="24"/>
        </w:rPr>
      </w:pPr>
      <w:r w:rsidRPr="00AB3E4B">
        <w:rPr>
          <w:rFonts w:ascii="Palatino Linotype" w:hAnsi="Palatino Linotype"/>
          <w:sz w:val="24"/>
          <w:szCs w:val="24"/>
        </w:rPr>
        <w:t xml:space="preserve">It could be for example that as with section 50 certificates under the Licensing (Scotland) Act 2005 that the existence of planning consent for an STL is deemed to be conclusive of certain matters, here any question of need, demand or overprovision.   </w:t>
      </w:r>
    </w:p>
    <w:p w:rsidR="002E2524" w:rsidRPr="00AB3E4B" w:rsidRDefault="00F23A3B" w:rsidP="00AB3E4B">
      <w:pPr>
        <w:spacing w:line="360" w:lineRule="auto"/>
        <w:jc w:val="both"/>
        <w:rPr>
          <w:rFonts w:ascii="Palatino Linotype" w:hAnsi="Palatino Linotype"/>
          <w:sz w:val="24"/>
          <w:szCs w:val="24"/>
        </w:rPr>
      </w:pPr>
      <w:r w:rsidRPr="00AB3E4B">
        <w:rPr>
          <w:rFonts w:ascii="Palatino Linotype" w:hAnsi="Palatino Linotype"/>
          <w:sz w:val="24"/>
          <w:szCs w:val="24"/>
        </w:rPr>
        <w:t>This might be subject to two caveats</w:t>
      </w:r>
      <w:r w:rsidR="00AB3E4B">
        <w:rPr>
          <w:rFonts w:ascii="Palatino Linotype" w:hAnsi="Palatino Linotype"/>
          <w:sz w:val="24"/>
          <w:szCs w:val="24"/>
        </w:rPr>
        <w:t xml:space="preserve"> which I will call “the exceptions” </w:t>
      </w:r>
      <w:r w:rsidRPr="00AB3E4B">
        <w:rPr>
          <w:rFonts w:ascii="Palatino Linotype" w:hAnsi="Palatino Linotype"/>
          <w:sz w:val="24"/>
          <w:szCs w:val="24"/>
        </w:rPr>
        <w:t>-</w:t>
      </w:r>
    </w:p>
    <w:p w:rsidR="00F23A3B" w:rsidRPr="00AB3E4B" w:rsidRDefault="00F23A3B" w:rsidP="00AB3E4B">
      <w:pPr>
        <w:spacing w:line="360" w:lineRule="auto"/>
        <w:jc w:val="both"/>
        <w:rPr>
          <w:rFonts w:ascii="Palatino Linotype" w:hAnsi="Palatino Linotype"/>
          <w:sz w:val="24"/>
          <w:szCs w:val="24"/>
        </w:rPr>
      </w:pPr>
      <w:r w:rsidRPr="00AB3E4B">
        <w:rPr>
          <w:rFonts w:ascii="Palatino Linotype" w:hAnsi="Palatino Linotype"/>
          <w:sz w:val="24"/>
          <w:szCs w:val="24"/>
        </w:rPr>
        <w:t>1. STL applications where planning consent has not yet been secured in a let control area (see paragraph 13 of the draft SSI) ; and</w:t>
      </w:r>
    </w:p>
    <w:p w:rsidR="00F23A3B" w:rsidRPr="00AB3E4B" w:rsidRDefault="00F23A3B" w:rsidP="00AB3E4B">
      <w:pPr>
        <w:spacing w:line="360" w:lineRule="auto"/>
        <w:jc w:val="both"/>
        <w:rPr>
          <w:rFonts w:ascii="Palatino Linotype" w:hAnsi="Palatino Linotype"/>
          <w:sz w:val="24"/>
          <w:szCs w:val="24"/>
        </w:rPr>
      </w:pPr>
      <w:r w:rsidRPr="00AB3E4B">
        <w:rPr>
          <w:rFonts w:ascii="Palatino Linotype" w:hAnsi="Palatino Linotype"/>
          <w:sz w:val="24"/>
          <w:szCs w:val="24"/>
        </w:rPr>
        <w:t>2. STL applications in an area where there is no let control designation.</w:t>
      </w:r>
    </w:p>
    <w:p w:rsidR="00F23A3B" w:rsidRPr="00AB3E4B" w:rsidRDefault="00F23A3B" w:rsidP="00AB3E4B">
      <w:pPr>
        <w:spacing w:line="360" w:lineRule="auto"/>
        <w:jc w:val="both"/>
        <w:rPr>
          <w:rFonts w:ascii="Palatino Linotype" w:hAnsi="Palatino Linotype"/>
          <w:sz w:val="24"/>
          <w:szCs w:val="24"/>
        </w:rPr>
      </w:pPr>
      <w:r w:rsidRPr="00AB3E4B">
        <w:rPr>
          <w:rFonts w:ascii="Palatino Linotype" w:hAnsi="Palatino Linotype"/>
          <w:sz w:val="24"/>
          <w:szCs w:val="24"/>
        </w:rPr>
        <w:t>In those cases one might argue that the licensing authority should have a role in relation to overprovision.</w:t>
      </w:r>
    </w:p>
    <w:p w:rsidR="002E2524" w:rsidRPr="00AB3E4B" w:rsidRDefault="00F23A3B" w:rsidP="00AB3E4B">
      <w:pPr>
        <w:spacing w:line="360" w:lineRule="auto"/>
        <w:jc w:val="both"/>
        <w:rPr>
          <w:rFonts w:ascii="Palatino Linotype" w:hAnsi="Palatino Linotype"/>
          <w:b/>
          <w:sz w:val="24"/>
          <w:szCs w:val="24"/>
        </w:rPr>
      </w:pPr>
      <w:r w:rsidRPr="00AB3E4B">
        <w:rPr>
          <w:rFonts w:ascii="Palatino Linotype" w:hAnsi="Palatino Linotype"/>
          <w:b/>
          <w:sz w:val="24"/>
          <w:szCs w:val="24"/>
        </w:rPr>
        <w:t>Analysis of the 1982 Act on overprovision</w:t>
      </w:r>
    </w:p>
    <w:p w:rsidR="001A5ACB" w:rsidRPr="00AB3E4B" w:rsidRDefault="001A5ACB" w:rsidP="00AB3E4B">
      <w:pPr>
        <w:spacing w:line="360" w:lineRule="auto"/>
        <w:jc w:val="both"/>
        <w:rPr>
          <w:rFonts w:ascii="Palatino Linotype" w:hAnsi="Palatino Linotype"/>
          <w:sz w:val="24"/>
          <w:szCs w:val="24"/>
        </w:rPr>
      </w:pPr>
      <w:r w:rsidRPr="00AB3E4B">
        <w:rPr>
          <w:rFonts w:ascii="Palatino Linotype" w:hAnsi="Palatino Linotype"/>
          <w:sz w:val="24"/>
          <w:szCs w:val="24"/>
        </w:rPr>
        <w:t>I note that Article 2(5)</w:t>
      </w:r>
      <w:r w:rsidR="00F82653" w:rsidRPr="00AB3E4B">
        <w:rPr>
          <w:rFonts w:ascii="Palatino Linotype" w:hAnsi="Palatino Linotype"/>
          <w:sz w:val="24"/>
          <w:szCs w:val="24"/>
        </w:rPr>
        <w:t xml:space="preserve"> and 5</w:t>
      </w:r>
      <w:r w:rsidRPr="00AB3E4B">
        <w:rPr>
          <w:rFonts w:ascii="Palatino Linotype" w:hAnsi="Palatino Linotype"/>
          <w:sz w:val="24"/>
          <w:szCs w:val="24"/>
        </w:rPr>
        <w:t xml:space="preserve"> of the </w:t>
      </w:r>
      <w:r w:rsidR="005303F5">
        <w:rPr>
          <w:rFonts w:ascii="Palatino Linotype" w:hAnsi="Palatino Linotype"/>
          <w:sz w:val="24"/>
          <w:szCs w:val="24"/>
        </w:rPr>
        <w:t>licensing S</w:t>
      </w:r>
      <w:r w:rsidRPr="00AB3E4B">
        <w:rPr>
          <w:rFonts w:ascii="Palatino Linotype" w:hAnsi="Palatino Linotype"/>
          <w:sz w:val="24"/>
          <w:szCs w:val="24"/>
        </w:rPr>
        <w:t>SI applies Schedule 1 of the 1982 Act to STL applications. Schedule 1 includes paragraph 5(3) which provides</w:t>
      </w:r>
      <w:r w:rsidR="00AA4B5F" w:rsidRPr="00AB3E4B">
        <w:rPr>
          <w:rFonts w:ascii="Palatino Linotype" w:hAnsi="Palatino Linotype"/>
          <w:sz w:val="24"/>
          <w:szCs w:val="24"/>
        </w:rPr>
        <w:t xml:space="preserve"> with my added emphasis</w:t>
      </w:r>
      <w:r w:rsidRPr="00AB3E4B">
        <w:rPr>
          <w:rFonts w:ascii="Palatino Linotype" w:hAnsi="Palatino Linotype"/>
          <w:sz w:val="24"/>
          <w:szCs w:val="24"/>
        </w:rPr>
        <w:t>-</w:t>
      </w:r>
    </w:p>
    <w:p w:rsidR="001A5ACB" w:rsidRPr="00AB3E4B" w:rsidRDefault="001A5ACB" w:rsidP="00AB3E4B">
      <w:pPr>
        <w:spacing w:line="360" w:lineRule="auto"/>
        <w:jc w:val="both"/>
        <w:rPr>
          <w:rFonts w:ascii="Palatino Linotype" w:eastAsia="Times New Roman" w:hAnsi="Palatino Linotype" w:cs="Times New Roman"/>
          <w:b/>
          <w:i/>
          <w:sz w:val="24"/>
          <w:szCs w:val="24"/>
          <w:lang w:eastAsia="en-GB"/>
        </w:rPr>
      </w:pPr>
      <w:r w:rsidRPr="00AB3E4B">
        <w:rPr>
          <w:rFonts w:ascii="Palatino Linotype" w:hAnsi="Palatino Linotype"/>
          <w:i/>
          <w:sz w:val="24"/>
          <w:szCs w:val="24"/>
        </w:rPr>
        <w:t>“</w:t>
      </w:r>
      <w:r w:rsidRPr="00AB3E4B">
        <w:rPr>
          <w:rFonts w:ascii="Palatino Linotype" w:eastAsia="Times New Roman" w:hAnsi="Palatino Linotype" w:cs="Times New Roman"/>
          <w:i/>
          <w:sz w:val="24"/>
          <w:szCs w:val="24"/>
          <w:lang w:eastAsia="en-GB"/>
        </w:rPr>
        <w:t>(3)  </w:t>
      </w:r>
      <w:r w:rsidRPr="00AB3E4B">
        <w:rPr>
          <w:rFonts w:ascii="Palatino Linotype" w:eastAsia="Times New Roman" w:hAnsi="Palatino Linotype" w:cs="Times New Roman"/>
          <w:b/>
          <w:i/>
          <w:sz w:val="24"/>
          <w:szCs w:val="24"/>
          <w:lang w:eastAsia="en-GB"/>
        </w:rPr>
        <w:t>A licensing authority shall refuse an application to grant or renew a licence if, in their opinion—</w:t>
      </w:r>
    </w:p>
    <w:p w:rsidR="001A5ACB" w:rsidRPr="00AB3E4B" w:rsidRDefault="001A5ACB" w:rsidP="00AB3E4B">
      <w:pPr>
        <w:spacing w:after="0"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Times New Roman"/>
          <w:i/>
          <w:sz w:val="24"/>
          <w:szCs w:val="24"/>
          <w:lang w:eastAsia="en-GB"/>
        </w:rPr>
        <w:t>(a)  the applicant or, where the applicant is not a natural person, any director of it or partner in it or any other person responsible for its management, is either—</w:t>
      </w:r>
    </w:p>
    <w:p w:rsidR="001A5ACB" w:rsidRPr="00AB3E4B" w:rsidRDefault="001A5ACB" w:rsidP="00AB3E4B">
      <w:pPr>
        <w:spacing w:after="0"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Times New Roman"/>
          <w:i/>
          <w:sz w:val="24"/>
          <w:szCs w:val="24"/>
          <w:lang w:eastAsia="en-GB"/>
        </w:rPr>
        <w:lastRenderedPageBreak/>
        <w:t>(i)  for the time being disqualified under section 7(6) of this Act, or</w:t>
      </w:r>
    </w:p>
    <w:p w:rsidR="001A5ACB" w:rsidRPr="00AB3E4B" w:rsidRDefault="001A5ACB" w:rsidP="00AB3E4B">
      <w:pPr>
        <w:spacing w:after="0"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Times New Roman"/>
          <w:i/>
          <w:sz w:val="24"/>
          <w:szCs w:val="24"/>
          <w:lang w:eastAsia="en-GB"/>
        </w:rPr>
        <w:t>(ii)  not a fit and proper person to be the holder of the licence;</w:t>
      </w:r>
    </w:p>
    <w:p w:rsidR="001A5ACB" w:rsidRPr="00AB3E4B" w:rsidRDefault="001A5ACB" w:rsidP="00AB3E4B">
      <w:pPr>
        <w:spacing w:after="0"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Times New Roman"/>
          <w:i/>
          <w:sz w:val="24"/>
          <w:szCs w:val="24"/>
          <w:lang w:eastAsia="en-GB"/>
        </w:rPr>
        <w:t>(b)  the activity to which it relates would be managed by or carried on for the benefit of a person, other than the applicant, who would be refused the grant or renewal of such a licence if he made the application himself;</w:t>
      </w:r>
    </w:p>
    <w:p w:rsidR="001A5ACB" w:rsidRPr="00AB3E4B" w:rsidRDefault="001A5ACB" w:rsidP="00AB3E4B">
      <w:pPr>
        <w:spacing w:after="0"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Times New Roman"/>
          <w:i/>
          <w:sz w:val="24"/>
          <w:szCs w:val="24"/>
          <w:lang w:eastAsia="en-GB"/>
        </w:rPr>
        <w:t>(c)  where the licence applied for relates to an activity consisting of or including the use of premises or a vehicle or vessel, those premises are not or, as the case may be, that vehicle or vessel is not suitable or convenient for the conduct of the activity having regard to—</w:t>
      </w:r>
    </w:p>
    <w:p w:rsidR="001A5ACB" w:rsidRPr="00AB3E4B" w:rsidRDefault="001A5ACB" w:rsidP="00AB3E4B">
      <w:pPr>
        <w:spacing w:after="0"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Times New Roman"/>
          <w:i/>
          <w:sz w:val="24"/>
          <w:szCs w:val="24"/>
          <w:lang w:eastAsia="en-GB"/>
        </w:rPr>
        <w:t>(i)  the location, character or condition of the premises or the character or condition of the vehicle or vessel;</w:t>
      </w:r>
    </w:p>
    <w:p w:rsidR="001A5ACB" w:rsidRPr="00AB3E4B" w:rsidRDefault="001A5ACB" w:rsidP="00AB3E4B">
      <w:pPr>
        <w:spacing w:after="0"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Times New Roman"/>
          <w:i/>
          <w:sz w:val="24"/>
          <w:szCs w:val="24"/>
          <w:lang w:eastAsia="en-GB"/>
        </w:rPr>
        <w:t>(ii)  the nature and extent of the proposed activity;</w:t>
      </w:r>
    </w:p>
    <w:p w:rsidR="001A5ACB" w:rsidRPr="00AB3E4B" w:rsidRDefault="001A5ACB" w:rsidP="00AB3E4B">
      <w:pPr>
        <w:spacing w:after="0"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Times New Roman"/>
          <w:i/>
          <w:sz w:val="24"/>
          <w:szCs w:val="24"/>
          <w:lang w:eastAsia="en-GB"/>
        </w:rPr>
        <w:t>(iii)  the kind of persons likely to be in the premises, vehicle or vessel;</w:t>
      </w:r>
    </w:p>
    <w:p w:rsidR="001A5ACB" w:rsidRPr="00AB3E4B" w:rsidRDefault="001A5ACB" w:rsidP="00AB3E4B">
      <w:pPr>
        <w:spacing w:after="0"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Times New Roman"/>
          <w:i/>
          <w:sz w:val="24"/>
          <w:szCs w:val="24"/>
          <w:lang w:eastAsia="en-GB"/>
        </w:rPr>
        <w:t>(iv)  the possibility of undue public nuisance; or</w:t>
      </w:r>
    </w:p>
    <w:p w:rsidR="001A5ACB" w:rsidRPr="00AB3E4B" w:rsidRDefault="001A5ACB" w:rsidP="00AB3E4B">
      <w:pPr>
        <w:spacing w:after="0" w:line="360" w:lineRule="auto"/>
        <w:jc w:val="both"/>
        <w:rPr>
          <w:rFonts w:ascii="Palatino Linotype" w:eastAsia="Times New Roman" w:hAnsi="Palatino Linotype" w:cs="Times New Roman"/>
          <w:i/>
          <w:sz w:val="24"/>
          <w:szCs w:val="24"/>
          <w:lang w:eastAsia="en-GB"/>
        </w:rPr>
      </w:pPr>
      <w:r w:rsidRPr="00AB3E4B">
        <w:rPr>
          <w:rFonts w:ascii="Palatino Linotype" w:eastAsia="Times New Roman" w:hAnsi="Palatino Linotype" w:cs="Times New Roman"/>
          <w:i/>
          <w:sz w:val="24"/>
          <w:szCs w:val="24"/>
          <w:lang w:eastAsia="en-GB"/>
        </w:rPr>
        <w:t>(v)  public order or public safety; or</w:t>
      </w:r>
    </w:p>
    <w:p w:rsidR="001A5ACB" w:rsidRPr="00AB3E4B" w:rsidRDefault="001A5ACB" w:rsidP="00AB3E4B">
      <w:pPr>
        <w:spacing w:after="0" w:line="360" w:lineRule="auto"/>
        <w:jc w:val="both"/>
        <w:rPr>
          <w:rFonts w:ascii="Palatino Linotype" w:eastAsia="Times New Roman" w:hAnsi="Palatino Linotype" w:cs="Times New Roman"/>
          <w:b/>
          <w:i/>
          <w:sz w:val="24"/>
          <w:szCs w:val="24"/>
          <w:lang w:eastAsia="en-GB"/>
        </w:rPr>
      </w:pPr>
      <w:r w:rsidRPr="00AB3E4B">
        <w:rPr>
          <w:rFonts w:ascii="Palatino Linotype" w:eastAsia="Times New Roman" w:hAnsi="Palatino Linotype" w:cs="Times New Roman"/>
          <w:b/>
          <w:i/>
          <w:sz w:val="24"/>
          <w:szCs w:val="24"/>
          <w:lang w:eastAsia="en-GB"/>
        </w:rPr>
        <w:t>(d)  there is other good reason for refusing the application;</w:t>
      </w:r>
    </w:p>
    <w:p w:rsidR="001A5ACB" w:rsidRPr="00AB3E4B" w:rsidRDefault="001A5ACB" w:rsidP="00AB3E4B">
      <w:pPr>
        <w:spacing w:line="360" w:lineRule="auto"/>
        <w:jc w:val="both"/>
        <w:rPr>
          <w:rFonts w:ascii="Palatino Linotype" w:hAnsi="Palatino Linotype"/>
          <w:i/>
          <w:sz w:val="24"/>
          <w:szCs w:val="24"/>
        </w:rPr>
      </w:pPr>
      <w:r w:rsidRPr="00AB3E4B">
        <w:rPr>
          <w:rFonts w:ascii="Palatino Linotype" w:eastAsia="Times New Roman" w:hAnsi="Palatino Linotype" w:cs="Times New Roman"/>
          <w:i/>
          <w:sz w:val="24"/>
          <w:szCs w:val="24"/>
          <w:lang w:eastAsia="en-GB"/>
        </w:rPr>
        <w:t> and otherwise shall grant the application.”</w:t>
      </w:r>
      <w:r w:rsidRPr="00AB3E4B">
        <w:rPr>
          <w:rFonts w:ascii="Palatino Linotype" w:hAnsi="Palatino Linotype"/>
          <w:i/>
          <w:sz w:val="24"/>
          <w:szCs w:val="24"/>
        </w:rPr>
        <w:t xml:space="preserve"> </w:t>
      </w:r>
    </w:p>
    <w:p w:rsidR="00AC606B" w:rsidRPr="00AB3E4B" w:rsidRDefault="00251718" w:rsidP="00AB3E4B">
      <w:pPr>
        <w:spacing w:line="360" w:lineRule="auto"/>
        <w:jc w:val="both"/>
        <w:rPr>
          <w:rFonts w:ascii="Palatino Linotype" w:hAnsi="Palatino Linotype"/>
          <w:sz w:val="24"/>
          <w:szCs w:val="24"/>
        </w:rPr>
      </w:pPr>
      <w:r w:rsidRPr="00AB3E4B">
        <w:rPr>
          <w:rFonts w:ascii="Palatino Linotype" w:hAnsi="Palatino Linotype"/>
          <w:sz w:val="24"/>
          <w:szCs w:val="24"/>
        </w:rPr>
        <w:t>Such</w:t>
      </w:r>
      <w:r w:rsidR="00AC606B" w:rsidRPr="00AB3E4B">
        <w:rPr>
          <w:rFonts w:ascii="Palatino Linotype" w:hAnsi="Palatino Linotype"/>
          <w:sz w:val="24"/>
          <w:szCs w:val="24"/>
        </w:rPr>
        <w:t xml:space="preserve"> types of </w:t>
      </w:r>
      <w:r w:rsidRPr="00AB3E4B">
        <w:rPr>
          <w:rFonts w:ascii="Palatino Linotype" w:hAnsi="Palatino Linotype"/>
          <w:sz w:val="24"/>
          <w:szCs w:val="24"/>
        </w:rPr>
        <w:t>tests are found</w:t>
      </w:r>
      <w:r w:rsidR="00AC606B" w:rsidRPr="00AB3E4B">
        <w:rPr>
          <w:rFonts w:ascii="Palatino Linotype" w:hAnsi="Palatino Linotype"/>
          <w:sz w:val="24"/>
          <w:szCs w:val="24"/>
        </w:rPr>
        <w:t xml:space="preserve">, in express terms, </w:t>
      </w:r>
      <w:r w:rsidRPr="00AB3E4B">
        <w:rPr>
          <w:rFonts w:ascii="Palatino Linotype" w:hAnsi="Palatino Linotype"/>
          <w:sz w:val="24"/>
          <w:szCs w:val="24"/>
        </w:rPr>
        <w:t>in the primary sections of the 1982 Act as regard taxis (s</w:t>
      </w:r>
      <w:r w:rsidR="005303F5">
        <w:rPr>
          <w:rFonts w:ascii="Palatino Linotype" w:hAnsi="Palatino Linotype"/>
          <w:sz w:val="24"/>
          <w:szCs w:val="24"/>
        </w:rPr>
        <w:t xml:space="preserve">ection </w:t>
      </w:r>
      <w:r w:rsidRPr="00AB3E4B">
        <w:rPr>
          <w:rFonts w:ascii="Palatino Linotype" w:hAnsi="Palatino Linotype"/>
          <w:sz w:val="24"/>
          <w:szCs w:val="24"/>
        </w:rPr>
        <w:t>10(3))</w:t>
      </w:r>
      <w:r w:rsidR="00D7156C" w:rsidRPr="00AB3E4B">
        <w:rPr>
          <w:rFonts w:ascii="Palatino Linotype" w:hAnsi="Palatino Linotype"/>
          <w:sz w:val="24"/>
          <w:szCs w:val="24"/>
        </w:rPr>
        <w:t xml:space="preserve"> and </w:t>
      </w:r>
      <w:r w:rsidRPr="00AB3E4B">
        <w:rPr>
          <w:rFonts w:ascii="Palatino Linotype" w:hAnsi="Palatino Linotype"/>
          <w:sz w:val="24"/>
          <w:szCs w:val="24"/>
        </w:rPr>
        <w:t>private hire</w:t>
      </w:r>
      <w:r w:rsidR="00D7156C" w:rsidRPr="00AB3E4B">
        <w:rPr>
          <w:rFonts w:ascii="Palatino Linotype" w:hAnsi="Palatino Linotype"/>
          <w:sz w:val="24"/>
          <w:szCs w:val="24"/>
        </w:rPr>
        <w:t xml:space="preserve"> cars</w:t>
      </w:r>
      <w:r w:rsidRPr="00AB3E4B">
        <w:rPr>
          <w:rFonts w:ascii="Palatino Linotype" w:hAnsi="Palatino Linotype"/>
          <w:sz w:val="24"/>
          <w:szCs w:val="24"/>
        </w:rPr>
        <w:t xml:space="preserve"> (s</w:t>
      </w:r>
      <w:r w:rsidR="005303F5">
        <w:rPr>
          <w:rFonts w:ascii="Palatino Linotype" w:hAnsi="Palatino Linotype"/>
          <w:sz w:val="24"/>
          <w:szCs w:val="24"/>
        </w:rPr>
        <w:t xml:space="preserve">ection </w:t>
      </w:r>
      <w:r w:rsidR="00D7156C" w:rsidRPr="00AB3E4B">
        <w:rPr>
          <w:rFonts w:ascii="Palatino Linotype" w:hAnsi="Palatino Linotype"/>
          <w:sz w:val="24"/>
          <w:szCs w:val="24"/>
        </w:rPr>
        <w:t xml:space="preserve">10(3A). </w:t>
      </w:r>
      <w:r w:rsidR="008D68AC" w:rsidRPr="00AB3E4B">
        <w:rPr>
          <w:rFonts w:ascii="Palatino Linotype" w:hAnsi="Palatino Linotype"/>
          <w:sz w:val="24"/>
          <w:szCs w:val="24"/>
        </w:rPr>
        <w:t xml:space="preserve"> It might be said that s</w:t>
      </w:r>
      <w:r w:rsidR="005303F5">
        <w:rPr>
          <w:rFonts w:ascii="Palatino Linotype" w:hAnsi="Palatino Linotype"/>
          <w:sz w:val="24"/>
          <w:szCs w:val="24"/>
        </w:rPr>
        <w:t xml:space="preserve">ection </w:t>
      </w:r>
      <w:r w:rsidR="008D68AC" w:rsidRPr="00AB3E4B">
        <w:rPr>
          <w:rFonts w:ascii="Palatino Linotype" w:hAnsi="Palatino Linotype"/>
          <w:sz w:val="24"/>
          <w:szCs w:val="24"/>
        </w:rPr>
        <w:t xml:space="preserve">10(2) is not quite overprovision as opposed to </w:t>
      </w:r>
      <w:r w:rsidR="008D68AC" w:rsidRPr="00AB3E4B">
        <w:rPr>
          <w:rFonts w:ascii="Palatino Linotype" w:hAnsi="Palatino Linotype"/>
          <w:i/>
          <w:sz w:val="24"/>
          <w:szCs w:val="24"/>
        </w:rPr>
        <w:t>“no  unmet  significant demand.”</w:t>
      </w:r>
      <w:r w:rsidR="008D68AC" w:rsidRPr="00AB3E4B">
        <w:rPr>
          <w:rFonts w:ascii="Palatino Linotype" w:hAnsi="Palatino Linotype"/>
          <w:sz w:val="24"/>
          <w:szCs w:val="24"/>
        </w:rPr>
        <w:t xml:space="preserve"> The private hire test does require consideration of both numbers and demand of such vehicles.</w:t>
      </w:r>
    </w:p>
    <w:p w:rsidR="00AC606B" w:rsidRPr="00AB3E4B" w:rsidRDefault="00AC606B" w:rsidP="00AB3E4B">
      <w:pPr>
        <w:spacing w:line="360" w:lineRule="auto"/>
        <w:jc w:val="both"/>
        <w:rPr>
          <w:rFonts w:ascii="Palatino Linotype" w:hAnsi="Palatino Linotype"/>
          <w:sz w:val="24"/>
          <w:szCs w:val="24"/>
        </w:rPr>
      </w:pPr>
      <w:r w:rsidRPr="00AB3E4B">
        <w:rPr>
          <w:rFonts w:ascii="Palatino Linotype" w:hAnsi="Palatino Linotype"/>
          <w:sz w:val="24"/>
          <w:szCs w:val="24"/>
        </w:rPr>
        <w:t>Can it though be said that the general scope of the 1982 Act could permit a refusal on the grounds of overprovision   of STLs</w:t>
      </w:r>
      <w:r w:rsidR="005303F5">
        <w:rPr>
          <w:rFonts w:ascii="Palatino Linotype" w:hAnsi="Palatino Linotype"/>
          <w:sz w:val="24"/>
          <w:szCs w:val="24"/>
        </w:rPr>
        <w:t xml:space="preserve"> even if not-as with taxis and private hires a test that is expressly stated </w:t>
      </w:r>
      <w:r w:rsidRPr="00AB3E4B">
        <w:rPr>
          <w:rFonts w:ascii="Palatino Linotype" w:hAnsi="Palatino Linotype"/>
          <w:sz w:val="24"/>
          <w:szCs w:val="24"/>
        </w:rPr>
        <w:t xml:space="preserve">? </w:t>
      </w:r>
    </w:p>
    <w:p w:rsidR="00AC606B" w:rsidRPr="005303F5" w:rsidRDefault="00AC606B" w:rsidP="00AB3E4B">
      <w:pPr>
        <w:spacing w:line="360" w:lineRule="auto"/>
        <w:jc w:val="both"/>
        <w:rPr>
          <w:rFonts w:ascii="Palatino Linotype" w:hAnsi="Palatino Linotype"/>
          <w:b/>
          <w:sz w:val="24"/>
          <w:szCs w:val="24"/>
        </w:rPr>
      </w:pPr>
      <w:r w:rsidRPr="005303F5">
        <w:rPr>
          <w:rFonts w:ascii="Palatino Linotype" w:hAnsi="Palatino Linotype"/>
          <w:b/>
          <w:sz w:val="24"/>
          <w:szCs w:val="24"/>
        </w:rPr>
        <w:t xml:space="preserve">In my view, the answer to that </w:t>
      </w:r>
      <w:r w:rsidR="001A5ACB" w:rsidRPr="005303F5">
        <w:rPr>
          <w:rFonts w:ascii="Palatino Linotype" w:hAnsi="Palatino Linotype"/>
          <w:b/>
          <w:sz w:val="24"/>
          <w:szCs w:val="24"/>
        </w:rPr>
        <w:t xml:space="preserve">first question </w:t>
      </w:r>
      <w:r w:rsidRPr="005303F5">
        <w:rPr>
          <w:rFonts w:ascii="Palatino Linotype" w:hAnsi="Palatino Linotype"/>
          <w:b/>
          <w:sz w:val="24"/>
          <w:szCs w:val="24"/>
        </w:rPr>
        <w:t>must be in the affirmative. I provide my reasons below.</w:t>
      </w:r>
    </w:p>
    <w:p w:rsidR="00AC606B" w:rsidRPr="00AB3E4B" w:rsidRDefault="00AC606B" w:rsidP="00AB3E4B">
      <w:pPr>
        <w:spacing w:line="360" w:lineRule="auto"/>
        <w:jc w:val="both"/>
        <w:rPr>
          <w:rFonts w:ascii="Palatino Linotype" w:hAnsi="Palatino Linotype"/>
          <w:sz w:val="24"/>
          <w:szCs w:val="24"/>
        </w:rPr>
      </w:pPr>
      <w:r w:rsidRPr="00AB3E4B">
        <w:rPr>
          <w:rFonts w:ascii="Palatino Linotype" w:hAnsi="Palatino Linotype"/>
          <w:sz w:val="24"/>
          <w:szCs w:val="24"/>
        </w:rPr>
        <w:lastRenderedPageBreak/>
        <w:t xml:space="preserve">There is of course a second question and that is whether assuming that such a test is </w:t>
      </w:r>
      <w:r w:rsidRPr="00AB3E4B">
        <w:rPr>
          <w:rFonts w:ascii="Palatino Linotype" w:hAnsi="Palatino Linotype"/>
          <w:i/>
          <w:sz w:val="24"/>
          <w:szCs w:val="24"/>
        </w:rPr>
        <w:t>intra vires</w:t>
      </w:r>
      <w:r w:rsidRPr="00AB3E4B">
        <w:rPr>
          <w:rFonts w:ascii="Palatino Linotype" w:hAnsi="Palatino Linotype"/>
          <w:sz w:val="24"/>
          <w:szCs w:val="24"/>
        </w:rPr>
        <w:t xml:space="preserve"> the 1982 Act, could it be said as a matter of the exercise of legislative discretion that the inclusion of such a test would be irrational or unreasonable in the </w:t>
      </w:r>
      <w:r w:rsidRPr="00AB3E4B">
        <w:rPr>
          <w:rFonts w:ascii="Palatino Linotype" w:hAnsi="Palatino Linotype"/>
          <w:i/>
          <w:sz w:val="24"/>
          <w:szCs w:val="24"/>
        </w:rPr>
        <w:t xml:space="preserve">Wednesbury </w:t>
      </w:r>
      <w:r w:rsidRPr="00AB3E4B">
        <w:rPr>
          <w:rFonts w:ascii="Palatino Linotype" w:hAnsi="Palatino Linotype"/>
          <w:sz w:val="24"/>
          <w:szCs w:val="24"/>
        </w:rPr>
        <w:t xml:space="preserve">sense?    </w:t>
      </w:r>
      <w:r w:rsidR="005303F5">
        <w:rPr>
          <w:rFonts w:ascii="Palatino Linotype" w:hAnsi="Palatino Linotype"/>
          <w:sz w:val="24"/>
          <w:szCs w:val="24"/>
        </w:rPr>
        <w:t xml:space="preserve">Is </w:t>
      </w:r>
      <w:r w:rsidR="00463CDC">
        <w:rPr>
          <w:rFonts w:ascii="Palatino Linotype" w:hAnsi="Palatino Linotype"/>
          <w:sz w:val="24"/>
          <w:szCs w:val="24"/>
        </w:rPr>
        <w:t>it a</w:t>
      </w:r>
      <w:r w:rsidR="005303F5">
        <w:rPr>
          <w:rFonts w:ascii="Palatino Linotype" w:hAnsi="Palatino Linotype"/>
          <w:sz w:val="24"/>
          <w:szCs w:val="24"/>
        </w:rPr>
        <w:t xml:space="preserve"> </w:t>
      </w:r>
      <w:r w:rsidR="005303F5" w:rsidRPr="005303F5">
        <w:rPr>
          <w:rFonts w:ascii="Palatino Linotype" w:hAnsi="Palatino Linotype"/>
          <w:i/>
          <w:sz w:val="24"/>
          <w:szCs w:val="24"/>
        </w:rPr>
        <w:t>Wednesbury</w:t>
      </w:r>
      <w:r w:rsidR="005303F5">
        <w:rPr>
          <w:rFonts w:ascii="Palatino Linotype" w:hAnsi="Palatino Linotype"/>
          <w:sz w:val="24"/>
          <w:szCs w:val="24"/>
        </w:rPr>
        <w:t xml:space="preserve"> reasonable policy choice? </w:t>
      </w:r>
    </w:p>
    <w:p w:rsidR="00CD3C51" w:rsidRPr="00AB3E4B" w:rsidRDefault="00AC606B" w:rsidP="00AB3E4B">
      <w:pPr>
        <w:spacing w:line="360" w:lineRule="auto"/>
        <w:jc w:val="both"/>
        <w:rPr>
          <w:rFonts w:ascii="Palatino Linotype" w:hAnsi="Palatino Linotype"/>
          <w:b/>
          <w:sz w:val="24"/>
          <w:szCs w:val="24"/>
        </w:rPr>
      </w:pPr>
      <w:r w:rsidRPr="00AB3E4B">
        <w:rPr>
          <w:rFonts w:ascii="Palatino Linotype" w:hAnsi="Palatino Linotype"/>
          <w:sz w:val="24"/>
          <w:szCs w:val="24"/>
        </w:rPr>
        <w:t>On the first question, a</w:t>
      </w:r>
      <w:r w:rsidR="00251718" w:rsidRPr="00AB3E4B">
        <w:rPr>
          <w:rFonts w:ascii="Palatino Linotype" w:hAnsi="Palatino Linotype"/>
          <w:sz w:val="24"/>
          <w:szCs w:val="24"/>
        </w:rPr>
        <w:t>lthough not expressed as a specific ground of refusal in the 1982 Act on “other good reason”, paragraph 5(3)(d) of Schedule 1 of the Act has been held to include overprovision</w:t>
      </w:r>
      <w:r w:rsidR="00AA4B5F" w:rsidRPr="00AB3E4B">
        <w:rPr>
          <w:rFonts w:ascii="Palatino Linotype" w:hAnsi="Palatino Linotype"/>
          <w:sz w:val="24"/>
          <w:szCs w:val="24"/>
        </w:rPr>
        <w:t xml:space="preserve"> by the Inner House</w:t>
      </w:r>
      <w:r w:rsidR="00251718" w:rsidRPr="00AB3E4B">
        <w:rPr>
          <w:rFonts w:ascii="Palatino Linotype" w:hAnsi="Palatino Linotype"/>
          <w:sz w:val="24"/>
          <w:szCs w:val="24"/>
        </w:rPr>
        <w:t xml:space="preserve"> –see </w:t>
      </w:r>
      <w:r w:rsidR="00251718" w:rsidRPr="00AB3E4B">
        <w:rPr>
          <w:rFonts w:ascii="Palatino Linotype" w:hAnsi="Palatino Linotype"/>
          <w:i/>
          <w:sz w:val="24"/>
          <w:szCs w:val="24"/>
        </w:rPr>
        <w:t>Kilmarnock  and Loudon DC v Noble Organisation</w:t>
      </w:r>
      <w:r w:rsidR="005303F5">
        <w:rPr>
          <w:rFonts w:ascii="Palatino Linotype" w:hAnsi="Palatino Linotype"/>
          <w:i/>
          <w:sz w:val="24"/>
          <w:szCs w:val="24"/>
        </w:rPr>
        <w:t>,</w:t>
      </w:r>
      <w:r w:rsidR="00251718" w:rsidRPr="00AB3E4B">
        <w:rPr>
          <w:rFonts w:ascii="Palatino Linotype" w:hAnsi="Palatino Linotype"/>
          <w:i/>
          <w:sz w:val="24"/>
          <w:szCs w:val="24"/>
        </w:rPr>
        <w:t xml:space="preserve"> </w:t>
      </w:r>
      <w:r w:rsidR="00251718" w:rsidRPr="00AB3E4B">
        <w:rPr>
          <w:rFonts w:ascii="Palatino Linotype" w:hAnsi="Palatino Linotype"/>
          <w:sz w:val="24"/>
          <w:szCs w:val="24"/>
        </w:rPr>
        <w:t>1993 SLT 759.</w:t>
      </w:r>
      <w:r w:rsidR="00251718" w:rsidRPr="00AB3E4B">
        <w:rPr>
          <w:rFonts w:ascii="Palatino Linotype" w:hAnsi="Palatino Linotype"/>
          <w:b/>
          <w:sz w:val="24"/>
          <w:szCs w:val="24"/>
        </w:rPr>
        <w:t xml:space="preserve">  </w:t>
      </w:r>
    </w:p>
    <w:p w:rsidR="00AA4B5F" w:rsidRPr="00AB3E4B" w:rsidRDefault="00251718" w:rsidP="00AB3E4B">
      <w:pPr>
        <w:spacing w:line="360" w:lineRule="auto"/>
        <w:jc w:val="both"/>
        <w:rPr>
          <w:rFonts w:ascii="Palatino Linotype" w:hAnsi="Palatino Linotype"/>
          <w:sz w:val="24"/>
          <w:szCs w:val="24"/>
        </w:rPr>
      </w:pPr>
      <w:r w:rsidRPr="00AB3E4B">
        <w:rPr>
          <w:rFonts w:ascii="Palatino Linotype" w:hAnsi="Palatino Linotype"/>
          <w:sz w:val="24"/>
          <w:szCs w:val="24"/>
        </w:rPr>
        <w:t>There a  licensing authority, appealed against the decision of the sheriff referring an application for a public entertainment licence</w:t>
      </w:r>
      <w:r w:rsidR="00453138" w:rsidRPr="00AB3E4B">
        <w:rPr>
          <w:rFonts w:ascii="Palatino Linotype" w:hAnsi="Palatino Linotype"/>
          <w:sz w:val="24"/>
          <w:szCs w:val="24"/>
        </w:rPr>
        <w:t xml:space="preserve"> under section 41 of that Act,</w:t>
      </w:r>
      <w:r w:rsidRPr="00AB3E4B">
        <w:rPr>
          <w:rFonts w:ascii="Palatino Linotype" w:hAnsi="Palatino Linotype"/>
          <w:sz w:val="24"/>
          <w:szCs w:val="24"/>
        </w:rPr>
        <w:t xml:space="preserve"> back for further consideration, arguing that he had erred in holding that a petition with some 376 objectors' signatures was not a competent objection and ought not to have been entertained. Each of the 15 pages of signatures was headed with: "Kilmarnock does not need a bigger arcade (Plaza converted into amusements)". </w:t>
      </w:r>
    </w:p>
    <w:p w:rsidR="00251718" w:rsidRPr="00AB3E4B" w:rsidRDefault="00453138" w:rsidP="00AB3E4B">
      <w:pPr>
        <w:spacing w:line="360" w:lineRule="auto"/>
        <w:jc w:val="both"/>
        <w:rPr>
          <w:rFonts w:ascii="Palatino Linotype" w:hAnsi="Palatino Linotype"/>
          <w:sz w:val="24"/>
          <w:szCs w:val="24"/>
        </w:rPr>
      </w:pPr>
      <w:r w:rsidRPr="00AB3E4B">
        <w:rPr>
          <w:rFonts w:ascii="Palatino Linotype" w:hAnsi="Palatino Linotype"/>
          <w:sz w:val="24"/>
          <w:szCs w:val="24"/>
        </w:rPr>
        <w:t xml:space="preserve">It was argued </w:t>
      </w:r>
      <w:r w:rsidR="00251718" w:rsidRPr="00AB3E4B">
        <w:rPr>
          <w:rFonts w:ascii="Palatino Linotype" w:hAnsi="Palatino Linotype"/>
          <w:sz w:val="24"/>
          <w:szCs w:val="24"/>
        </w:rPr>
        <w:t>that it gave a sufficient ground of objection, namely over-provision, which although not specifically mentioned as a ground of refusal, was another "good reason" in terms of para. 5</w:t>
      </w:r>
      <w:r w:rsidRPr="00AB3E4B">
        <w:rPr>
          <w:rFonts w:ascii="Palatino Linotype" w:hAnsi="Palatino Linotype"/>
          <w:sz w:val="24"/>
          <w:szCs w:val="24"/>
        </w:rPr>
        <w:t>(3</w:t>
      </w:r>
      <w:r w:rsidR="00AB3E4B" w:rsidRPr="00AB3E4B">
        <w:rPr>
          <w:rFonts w:ascii="Palatino Linotype" w:hAnsi="Palatino Linotype"/>
          <w:sz w:val="24"/>
          <w:szCs w:val="24"/>
        </w:rPr>
        <w:t>) (</w:t>
      </w:r>
      <w:r w:rsidRPr="00AB3E4B">
        <w:rPr>
          <w:rFonts w:ascii="Palatino Linotype" w:hAnsi="Palatino Linotype"/>
          <w:sz w:val="24"/>
          <w:szCs w:val="24"/>
        </w:rPr>
        <w:t>d)</w:t>
      </w:r>
      <w:r w:rsidR="00251718" w:rsidRPr="00AB3E4B">
        <w:rPr>
          <w:rFonts w:ascii="Palatino Linotype" w:hAnsi="Palatino Linotype"/>
          <w:sz w:val="24"/>
          <w:szCs w:val="24"/>
        </w:rPr>
        <w:t xml:space="preserve"> of Sch. 1 to the 1982 Act.</w:t>
      </w:r>
    </w:p>
    <w:p w:rsidR="00AA4B5F" w:rsidRPr="00AB3E4B" w:rsidRDefault="00453138" w:rsidP="00AB3E4B">
      <w:pPr>
        <w:spacing w:line="360" w:lineRule="auto"/>
        <w:jc w:val="both"/>
        <w:rPr>
          <w:rFonts w:ascii="Palatino Linotype" w:hAnsi="Palatino Linotype"/>
          <w:color w:val="000000" w:themeColor="text1"/>
          <w:sz w:val="24"/>
          <w:szCs w:val="24"/>
        </w:rPr>
      </w:pPr>
      <w:r w:rsidRPr="00AB3E4B">
        <w:rPr>
          <w:rFonts w:ascii="Palatino Linotype" w:hAnsi="Palatino Linotype"/>
          <w:color w:val="000000" w:themeColor="text1"/>
          <w:sz w:val="24"/>
          <w:szCs w:val="24"/>
        </w:rPr>
        <w:t xml:space="preserve">The premises were already being operated by the applicants as a place of public entertainment together with a snack bar. Adjacent to them were other premises occupied by the applicants which were being operated by them as the Plaza wine bar. </w:t>
      </w:r>
    </w:p>
    <w:p w:rsidR="00453138" w:rsidRDefault="00453138" w:rsidP="00AB3E4B">
      <w:pPr>
        <w:spacing w:line="360" w:lineRule="auto"/>
        <w:jc w:val="both"/>
        <w:rPr>
          <w:rFonts w:ascii="Palatino Linotype" w:hAnsi="Palatino Linotype"/>
          <w:color w:val="000000" w:themeColor="text1"/>
          <w:sz w:val="24"/>
          <w:szCs w:val="24"/>
        </w:rPr>
      </w:pPr>
      <w:r w:rsidRPr="00AB3E4B">
        <w:rPr>
          <w:rFonts w:ascii="Palatino Linotype" w:hAnsi="Palatino Linotype"/>
          <w:color w:val="000000" w:themeColor="text1"/>
          <w:sz w:val="24"/>
          <w:szCs w:val="24"/>
        </w:rPr>
        <w:t xml:space="preserve">The proposal was to close the wine bar with its restaurant and discotheque area and to increase the number of electronic machines in the premises from 91 to 170, thus increasing substantially the area used as a place of public entertainment within the meaning of </w:t>
      </w:r>
      <w:hyperlink r:id="rId11" w:history="1">
        <w:r w:rsidRPr="00AB3E4B">
          <w:rPr>
            <w:rStyle w:val="Hyperlink"/>
            <w:rFonts w:ascii="Palatino Linotype" w:hAnsi="Palatino Linotype"/>
            <w:color w:val="000000" w:themeColor="text1"/>
            <w:sz w:val="24"/>
            <w:szCs w:val="24"/>
            <w:u w:val="none"/>
          </w:rPr>
          <w:t>s</w:t>
        </w:r>
        <w:r w:rsidR="00AB3E4B">
          <w:rPr>
            <w:rStyle w:val="Hyperlink"/>
            <w:rFonts w:ascii="Palatino Linotype" w:hAnsi="Palatino Linotype"/>
            <w:color w:val="000000" w:themeColor="text1"/>
            <w:sz w:val="24"/>
            <w:szCs w:val="24"/>
            <w:u w:val="none"/>
          </w:rPr>
          <w:t>ection</w:t>
        </w:r>
        <w:r w:rsidRPr="00AB3E4B">
          <w:rPr>
            <w:rStyle w:val="Hyperlink"/>
            <w:rFonts w:ascii="Palatino Linotype" w:hAnsi="Palatino Linotype"/>
            <w:color w:val="000000" w:themeColor="text1"/>
            <w:sz w:val="24"/>
            <w:szCs w:val="24"/>
            <w:u w:val="none"/>
          </w:rPr>
          <w:t xml:space="preserve"> 41 (2)</w:t>
        </w:r>
      </w:hyperlink>
      <w:r w:rsidRPr="00AB3E4B">
        <w:rPr>
          <w:rFonts w:ascii="Palatino Linotype" w:hAnsi="Palatino Linotype"/>
          <w:color w:val="000000" w:themeColor="text1"/>
          <w:sz w:val="24"/>
          <w:szCs w:val="24"/>
        </w:rPr>
        <w:t xml:space="preserve"> of the Act.</w:t>
      </w:r>
    </w:p>
    <w:p w:rsidR="00AB3E4B" w:rsidRDefault="00AB3E4B" w:rsidP="00AB3E4B">
      <w:pPr>
        <w:spacing w:line="360" w:lineRule="auto"/>
        <w:jc w:val="both"/>
        <w:rPr>
          <w:rFonts w:ascii="Palatino Linotype" w:hAnsi="Palatino Linotype"/>
          <w:color w:val="000000" w:themeColor="text1"/>
          <w:sz w:val="24"/>
          <w:szCs w:val="24"/>
        </w:rPr>
      </w:pPr>
    </w:p>
    <w:p w:rsidR="00AB3E4B" w:rsidRPr="00AB3E4B" w:rsidRDefault="00AB3E4B" w:rsidP="00AB3E4B">
      <w:pPr>
        <w:spacing w:line="360" w:lineRule="auto"/>
        <w:jc w:val="both"/>
        <w:rPr>
          <w:rFonts w:ascii="Palatino Linotype" w:hAnsi="Palatino Linotype"/>
          <w:sz w:val="24"/>
          <w:szCs w:val="24"/>
        </w:rPr>
      </w:pPr>
    </w:p>
    <w:p w:rsidR="00453138" w:rsidRPr="00AB3E4B" w:rsidRDefault="00453138" w:rsidP="00AB3E4B">
      <w:pPr>
        <w:spacing w:line="360" w:lineRule="auto"/>
        <w:jc w:val="both"/>
        <w:rPr>
          <w:rFonts w:ascii="Palatino Linotype" w:hAnsi="Palatino Linotype"/>
          <w:sz w:val="24"/>
          <w:szCs w:val="24"/>
        </w:rPr>
      </w:pPr>
      <w:r w:rsidRPr="00AB3E4B">
        <w:rPr>
          <w:rFonts w:ascii="Palatino Linotype" w:hAnsi="Palatino Linotype"/>
          <w:sz w:val="24"/>
          <w:szCs w:val="24"/>
        </w:rPr>
        <w:t>As was argued in that case for the licensing authority under reference to an earlier case-</w:t>
      </w:r>
    </w:p>
    <w:p w:rsidR="00453138" w:rsidRPr="00AB3E4B" w:rsidRDefault="00453138" w:rsidP="00AB3E4B">
      <w:pPr>
        <w:spacing w:line="360" w:lineRule="auto"/>
        <w:jc w:val="both"/>
        <w:rPr>
          <w:rFonts w:ascii="Palatino Linotype" w:hAnsi="Palatino Linotype"/>
          <w:i/>
          <w:sz w:val="24"/>
          <w:szCs w:val="24"/>
        </w:rPr>
      </w:pPr>
      <w:r w:rsidRPr="00AB3E4B">
        <w:rPr>
          <w:rFonts w:ascii="Palatino Linotype" w:hAnsi="Palatino Linotype"/>
          <w:i/>
          <w:sz w:val="24"/>
          <w:szCs w:val="24"/>
        </w:rPr>
        <w:t xml:space="preserve">“ Counsel for the licensing authority submitted that the sheriff had misdirected himself as to the proper construction of the words used in the document. He contended that they gave a sufficient indication of the ground of objection, which was that if the application were to be granted it would result in an over provision of places of public entertainment in Kilmarnock. He pointed out that the grounds of refusal in para 5 (3) (c) did not include over provision, but he submitted that there could be no doubt that this was another “good reason” for refusing an application in terms of para 5 (3) (d). If authority was needed on this point it was to be found in </w:t>
      </w:r>
      <w:r w:rsidRPr="00AB3E4B">
        <w:rPr>
          <w:rFonts w:ascii="Palatino Linotype" w:hAnsi="Palatino Linotype"/>
          <w:i/>
          <w:iCs/>
          <w:sz w:val="24"/>
          <w:szCs w:val="24"/>
        </w:rPr>
        <w:t>The Noble Organisation v City of Glasgow District Council (No 3)</w:t>
      </w:r>
      <w:r w:rsidRPr="00AB3E4B">
        <w:rPr>
          <w:rFonts w:ascii="Palatino Linotype" w:hAnsi="Palatino Linotype"/>
          <w:i/>
          <w:sz w:val="24"/>
          <w:szCs w:val="24"/>
        </w:rPr>
        <w:t xml:space="preserve"> where at p 216D the Lord Justice Clerk agreed that over provision of similar facilities in the locality could fall under head (d) of the subparagraph.</w:t>
      </w:r>
    </w:p>
    <w:p w:rsidR="00453138" w:rsidRPr="00AB3E4B" w:rsidRDefault="00453138" w:rsidP="00AB3E4B">
      <w:pPr>
        <w:spacing w:line="360" w:lineRule="auto"/>
        <w:jc w:val="both"/>
        <w:rPr>
          <w:rFonts w:ascii="Palatino Linotype" w:hAnsi="Palatino Linotype"/>
          <w:sz w:val="24"/>
          <w:szCs w:val="24"/>
        </w:rPr>
      </w:pPr>
      <w:r w:rsidRPr="00AB3E4B">
        <w:rPr>
          <w:rFonts w:ascii="Palatino Linotype" w:hAnsi="Palatino Linotype"/>
          <w:sz w:val="24"/>
          <w:szCs w:val="24"/>
        </w:rPr>
        <w:t xml:space="preserve">The Court </w:t>
      </w:r>
      <w:r w:rsidR="00AC606B" w:rsidRPr="00AB3E4B">
        <w:rPr>
          <w:rFonts w:ascii="Palatino Linotype" w:hAnsi="Palatino Linotype"/>
          <w:sz w:val="24"/>
          <w:szCs w:val="24"/>
        </w:rPr>
        <w:t xml:space="preserve">then </w:t>
      </w:r>
      <w:r w:rsidRPr="00AB3E4B">
        <w:rPr>
          <w:rFonts w:ascii="Palatino Linotype" w:hAnsi="Palatino Linotype"/>
          <w:sz w:val="24"/>
          <w:szCs w:val="24"/>
        </w:rPr>
        <w:t>said-</w:t>
      </w:r>
    </w:p>
    <w:p w:rsidR="00453138" w:rsidRPr="00AB3E4B" w:rsidRDefault="00453138" w:rsidP="00AB3E4B">
      <w:pPr>
        <w:spacing w:line="360" w:lineRule="auto"/>
        <w:jc w:val="both"/>
        <w:rPr>
          <w:rFonts w:ascii="Palatino Linotype" w:hAnsi="Palatino Linotype"/>
          <w:i/>
          <w:sz w:val="24"/>
          <w:szCs w:val="24"/>
        </w:rPr>
      </w:pPr>
      <w:r w:rsidRPr="00AB3E4B">
        <w:rPr>
          <w:rFonts w:ascii="Palatino Linotype" w:hAnsi="Palatino Linotype"/>
          <w:i/>
          <w:sz w:val="24"/>
          <w:szCs w:val="24"/>
        </w:rPr>
        <w:t>“….in the language of para 5 (3) of the Schedule, as the licensing authority is entitled to refuse an application if there is “some other good reason” for doing so than the particular reasons listed there.”</w:t>
      </w:r>
    </w:p>
    <w:p w:rsidR="00AA4B5F" w:rsidRPr="00AB3E4B" w:rsidRDefault="00CD3C51" w:rsidP="00AB3E4B">
      <w:pPr>
        <w:spacing w:line="360" w:lineRule="auto"/>
        <w:jc w:val="both"/>
        <w:rPr>
          <w:rFonts w:ascii="Palatino Linotype" w:hAnsi="Palatino Linotype"/>
          <w:sz w:val="24"/>
          <w:szCs w:val="24"/>
        </w:rPr>
      </w:pPr>
      <w:r w:rsidRPr="00AB3E4B">
        <w:rPr>
          <w:rFonts w:ascii="Palatino Linotype" w:hAnsi="Palatino Linotype"/>
          <w:sz w:val="24"/>
          <w:szCs w:val="24"/>
        </w:rPr>
        <w:t xml:space="preserve">As can be seen there was an earlier case involving the Noble Organisation </w:t>
      </w:r>
      <w:r w:rsidR="00AA4B5F" w:rsidRPr="00AB3E4B">
        <w:rPr>
          <w:rFonts w:ascii="Palatino Linotype" w:hAnsi="Palatino Linotype"/>
          <w:sz w:val="24"/>
          <w:szCs w:val="24"/>
        </w:rPr>
        <w:t>-</w:t>
      </w:r>
      <w:r w:rsidR="00AA4B5F" w:rsidRPr="00AB3E4B">
        <w:rPr>
          <w:rFonts w:ascii="Palatino Linotype" w:hAnsi="Palatino Linotype"/>
          <w:i/>
          <w:iCs/>
          <w:sz w:val="24"/>
          <w:szCs w:val="24"/>
        </w:rPr>
        <w:t xml:space="preserve">The Noble Organisation v City of Glasgow District Council (No 3) </w:t>
      </w:r>
      <w:r w:rsidR="00AA4B5F" w:rsidRPr="00AB3E4B">
        <w:rPr>
          <w:rFonts w:ascii="Palatino Linotype" w:hAnsi="Palatino Linotype"/>
          <w:iCs/>
          <w:sz w:val="24"/>
          <w:szCs w:val="24"/>
        </w:rPr>
        <w:t>1991 SC 131-</w:t>
      </w:r>
      <w:r w:rsidRPr="00AB3E4B">
        <w:rPr>
          <w:rFonts w:ascii="Palatino Linotype" w:hAnsi="Palatino Linotype"/>
          <w:sz w:val="24"/>
          <w:szCs w:val="24"/>
        </w:rPr>
        <w:t xml:space="preserve">where “other good reason” included overprovision. </w:t>
      </w:r>
      <w:r w:rsidR="00AC606B" w:rsidRPr="00AB3E4B">
        <w:rPr>
          <w:rFonts w:ascii="Palatino Linotype" w:hAnsi="Palatino Linotype"/>
          <w:sz w:val="24"/>
          <w:szCs w:val="24"/>
        </w:rPr>
        <w:t xml:space="preserve"> </w:t>
      </w:r>
    </w:p>
    <w:p w:rsidR="005A7CFC" w:rsidRPr="00AB3E4B" w:rsidRDefault="008D68AC" w:rsidP="00AB3E4B">
      <w:pPr>
        <w:spacing w:line="360" w:lineRule="auto"/>
        <w:jc w:val="both"/>
        <w:rPr>
          <w:rFonts w:ascii="Palatino Linotype" w:hAnsi="Palatino Linotype"/>
          <w:sz w:val="24"/>
          <w:szCs w:val="24"/>
        </w:rPr>
      </w:pPr>
      <w:r w:rsidRPr="00AB3E4B">
        <w:rPr>
          <w:rFonts w:ascii="Palatino Linotype" w:hAnsi="Palatino Linotype"/>
          <w:sz w:val="24"/>
          <w:szCs w:val="24"/>
        </w:rPr>
        <w:t>What goes to overprovision in a given locality would be for the licensing authority</w:t>
      </w:r>
      <w:r w:rsidR="00AA4B5F" w:rsidRPr="00AB3E4B">
        <w:rPr>
          <w:rFonts w:ascii="Palatino Linotype" w:hAnsi="Palatino Linotype"/>
          <w:sz w:val="24"/>
          <w:szCs w:val="24"/>
        </w:rPr>
        <w:t xml:space="preserve"> to determine</w:t>
      </w:r>
      <w:r w:rsidRPr="00AB3E4B">
        <w:rPr>
          <w:rFonts w:ascii="Palatino Linotype" w:hAnsi="Palatino Linotype"/>
          <w:sz w:val="24"/>
          <w:szCs w:val="24"/>
        </w:rPr>
        <w:t xml:space="preserve"> but plainly questions of numbers and demand might have a role to play.     </w:t>
      </w:r>
      <w:r w:rsidR="00AA4B5F" w:rsidRPr="00AB3E4B">
        <w:rPr>
          <w:rFonts w:ascii="Palatino Linotype" w:hAnsi="Palatino Linotype"/>
          <w:sz w:val="24"/>
          <w:szCs w:val="24"/>
        </w:rPr>
        <w:t>The 1982 Act test of overprovision may not be dissimilar from the test in section 17(1)(d) of the Licensing (Scotland) Act 1976.</w:t>
      </w:r>
    </w:p>
    <w:p w:rsidR="001A5ACB" w:rsidRPr="00AB3E4B" w:rsidRDefault="00AA4B5F" w:rsidP="00AB3E4B">
      <w:pPr>
        <w:spacing w:line="360" w:lineRule="auto"/>
        <w:jc w:val="both"/>
        <w:rPr>
          <w:rFonts w:ascii="Palatino Linotype" w:hAnsi="Palatino Linotype"/>
          <w:sz w:val="24"/>
          <w:szCs w:val="24"/>
        </w:rPr>
      </w:pPr>
      <w:r w:rsidRPr="00AB3E4B">
        <w:rPr>
          <w:rFonts w:ascii="Palatino Linotype" w:hAnsi="Palatino Linotype"/>
          <w:sz w:val="24"/>
          <w:szCs w:val="24"/>
        </w:rPr>
        <w:t xml:space="preserve"> That test was of course a broad discretionary one-essentially one of the licensing “experience” of the Board as to when a state of overprovision was reached</w:t>
      </w:r>
      <w:r w:rsidR="005A7CFC" w:rsidRPr="00AB3E4B">
        <w:rPr>
          <w:rFonts w:ascii="Palatino Linotype" w:hAnsi="Palatino Linotype"/>
          <w:sz w:val="24"/>
          <w:szCs w:val="24"/>
        </w:rPr>
        <w:t xml:space="preserve"> and the </w:t>
      </w:r>
      <w:r w:rsidR="005A7CFC" w:rsidRPr="00AB3E4B">
        <w:rPr>
          <w:rFonts w:ascii="Palatino Linotype" w:hAnsi="Palatino Linotype"/>
          <w:sz w:val="24"/>
          <w:szCs w:val="24"/>
        </w:rPr>
        <w:lastRenderedPageBreak/>
        <w:t>caselaw gave little, if any guidance on when such a state was reached (</w:t>
      </w:r>
      <w:r w:rsidR="005A7CFC" w:rsidRPr="00AB3E4B">
        <w:rPr>
          <w:rFonts w:ascii="Palatino Linotype" w:hAnsi="Palatino Linotype"/>
          <w:i/>
          <w:sz w:val="24"/>
          <w:szCs w:val="24"/>
        </w:rPr>
        <w:t xml:space="preserve">Caledonian Nightclubs Ltd v City of Glasgow District Licensing Board </w:t>
      </w:r>
      <w:r w:rsidR="005A7CFC" w:rsidRPr="00AB3E4B">
        <w:rPr>
          <w:rFonts w:ascii="Palatino Linotype" w:hAnsi="Palatino Linotype"/>
          <w:sz w:val="24"/>
          <w:szCs w:val="24"/>
        </w:rPr>
        <w:t xml:space="preserve">1996 SLT 451, HL). </w:t>
      </w:r>
    </w:p>
    <w:p w:rsidR="00701F4C" w:rsidRPr="00AB3E4B" w:rsidRDefault="00AC606B" w:rsidP="00AB3E4B">
      <w:pPr>
        <w:spacing w:line="360" w:lineRule="auto"/>
        <w:jc w:val="both"/>
        <w:rPr>
          <w:rFonts w:ascii="Palatino Linotype" w:hAnsi="Palatino Linotype"/>
          <w:b/>
          <w:sz w:val="24"/>
          <w:szCs w:val="24"/>
        </w:rPr>
      </w:pPr>
      <w:r w:rsidRPr="00AB3E4B">
        <w:rPr>
          <w:rFonts w:ascii="Palatino Linotype" w:hAnsi="Palatino Linotype"/>
          <w:sz w:val="24"/>
          <w:szCs w:val="24"/>
        </w:rPr>
        <w:t xml:space="preserve">Accordingly there are two Inner House decisions which make it clear that in principle </w:t>
      </w:r>
      <w:r w:rsidR="00AB3E4B" w:rsidRPr="00AB3E4B">
        <w:rPr>
          <w:rFonts w:ascii="Palatino Linotype" w:hAnsi="Palatino Linotype"/>
          <w:sz w:val="24"/>
          <w:szCs w:val="24"/>
        </w:rPr>
        <w:t>para</w:t>
      </w:r>
      <w:r w:rsidR="00AB3E4B">
        <w:rPr>
          <w:rFonts w:ascii="Palatino Linotype" w:hAnsi="Palatino Linotype"/>
          <w:sz w:val="24"/>
          <w:szCs w:val="24"/>
        </w:rPr>
        <w:t>. 5</w:t>
      </w:r>
      <w:r w:rsidR="001A5ACB" w:rsidRPr="00AB3E4B">
        <w:rPr>
          <w:rFonts w:ascii="Palatino Linotype" w:hAnsi="Palatino Linotype"/>
          <w:sz w:val="24"/>
          <w:szCs w:val="24"/>
        </w:rPr>
        <w:t>(3)(d) is wide enough to include the ability of the licensing authority to consider “</w:t>
      </w:r>
      <w:r w:rsidR="001A5ACB" w:rsidRPr="00AB3E4B">
        <w:rPr>
          <w:rFonts w:ascii="Palatino Linotype" w:hAnsi="Palatino Linotype"/>
          <w:i/>
          <w:sz w:val="24"/>
          <w:szCs w:val="24"/>
        </w:rPr>
        <w:t>over provision of similar facilities in the locality</w:t>
      </w:r>
      <w:r w:rsidR="005A7CFC" w:rsidRPr="00AB3E4B">
        <w:rPr>
          <w:rFonts w:ascii="Palatino Linotype" w:hAnsi="Palatino Linotype"/>
          <w:i/>
          <w:sz w:val="24"/>
          <w:szCs w:val="24"/>
        </w:rPr>
        <w:t>,</w:t>
      </w:r>
      <w:r w:rsidR="001A5ACB" w:rsidRPr="00AB3E4B">
        <w:rPr>
          <w:rFonts w:ascii="Palatino Linotype" w:hAnsi="Palatino Linotype"/>
          <w:i/>
          <w:sz w:val="24"/>
          <w:szCs w:val="24"/>
        </w:rPr>
        <w:t>”</w:t>
      </w:r>
      <w:r w:rsidR="005A7CFC" w:rsidRPr="00AB3E4B">
        <w:rPr>
          <w:rFonts w:ascii="Palatino Linotype" w:hAnsi="Palatino Linotype"/>
          <w:i/>
          <w:sz w:val="24"/>
          <w:szCs w:val="24"/>
        </w:rPr>
        <w:t xml:space="preserve"> </w:t>
      </w:r>
      <w:r w:rsidR="005A7CFC" w:rsidRPr="00AB3E4B">
        <w:rPr>
          <w:rFonts w:ascii="Palatino Linotype" w:hAnsi="Palatino Linotype"/>
          <w:b/>
          <w:sz w:val="24"/>
          <w:szCs w:val="24"/>
        </w:rPr>
        <w:t xml:space="preserve">but neither of those cases nor indeed the similar test under the 1976 Act gives much guidance on how overprovision is approached. </w:t>
      </w:r>
    </w:p>
    <w:p w:rsidR="001A5ACB" w:rsidRPr="00AB3E4B" w:rsidRDefault="003127CA" w:rsidP="00AB3E4B">
      <w:pPr>
        <w:spacing w:line="360" w:lineRule="auto"/>
        <w:jc w:val="both"/>
        <w:rPr>
          <w:rFonts w:ascii="Palatino Linotype" w:hAnsi="Palatino Linotype"/>
          <w:sz w:val="24"/>
          <w:szCs w:val="24"/>
        </w:rPr>
      </w:pPr>
      <w:r w:rsidRPr="00AB3E4B">
        <w:rPr>
          <w:rFonts w:ascii="Palatino Linotype" w:hAnsi="Palatino Linotype"/>
          <w:sz w:val="24"/>
          <w:szCs w:val="24"/>
        </w:rPr>
        <w:t>Accordingly even if an application survives the other tests in paragraph 5(3)(a)-(c)</w:t>
      </w:r>
      <w:r w:rsidR="00CD3C51" w:rsidRPr="00AB3E4B">
        <w:rPr>
          <w:rFonts w:ascii="Palatino Linotype" w:hAnsi="Palatino Linotype"/>
          <w:sz w:val="24"/>
          <w:szCs w:val="24"/>
        </w:rPr>
        <w:t xml:space="preserve"> </w:t>
      </w:r>
      <w:r w:rsidR="001A5ACB" w:rsidRPr="00AB3E4B">
        <w:rPr>
          <w:rFonts w:ascii="Palatino Linotype" w:hAnsi="Palatino Linotype"/>
          <w:sz w:val="24"/>
          <w:szCs w:val="24"/>
        </w:rPr>
        <w:t xml:space="preserve">such as </w:t>
      </w:r>
      <w:r w:rsidR="006E23DC">
        <w:rPr>
          <w:rFonts w:ascii="Palatino Linotype" w:hAnsi="Palatino Linotype"/>
          <w:sz w:val="24"/>
          <w:szCs w:val="24"/>
        </w:rPr>
        <w:t xml:space="preserve">there being a </w:t>
      </w:r>
      <w:r w:rsidR="00CD3C51" w:rsidRPr="00AB3E4B">
        <w:rPr>
          <w:rFonts w:ascii="Palatino Linotype" w:hAnsi="Palatino Linotype"/>
          <w:sz w:val="24"/>
          <w:szCs w:val="24"/>
        </w:rPr>
        <w:t>fit and proper</w:t>
      </w:r>
      <w:r w:rsidR="00AC606B" w:rsidRPr="00AB3E4B">
        <w:rPr>
          <w:rFonts w:ascii="Palatino Linotype" w:hAnsi="Palatino Linotype"/>
          <w:sz w:val="24"/>
          <w:szCs w:val="24"/>
        </w:rPr>
        <w:t xml:space="preserve"> applicant</w:t>
      </w:r>
      <w:r w:rsidR="00CD3C51" w:rsidRPr="00AB3E4B">
        <w:rPr>
          <w:rFonts w:ascii="Palatino Linotype" w:hAnsi="Palatino Linotype"/>
          <w:sz w:val="24"/>
          <w:szCs w:val="24"/>
        </w:rPr>
        <w:t>, suitabl</w:t>
      </w:r>
      <w:r w:rsidR="006E23DC">
        <w:rPr>
          <w:rFonts w:ascii="Palatino Linotype" w:hAnsi="Palatino Linotype"/>
          <w:sz w:val="24"/>
          <w:szCs w:val="24"/>
        </w:rPr>
        <w:t xml:space="preserve">e </w:t>
      </w:r>
      <w:r w:rsidR="00CD3C51" w:rsidRPr="00AB3E4B">
        <w:rPr>
          <w:rFonts w:ascii="Palatino Linotype" w:hAnsi="Palatino Linotype"/>
          <w:sz w:val="24"/>
          <w:szCs w:val="24"/>
        </w:rPr>
        <w:t xml:space="preserve"> premises, </w:t>
      </w:r>
      <w:r w:rsidR="006E23DC">
        <w:rPr>
          <w:rFonts w:ascii="Palatino Linotype" w:hAnsi="Palatino Linotype"/>
          <w:sz w:val="24"/>
          <w:szCs w:val="24"/>
        </w:rPr>
        <w:t xml:space="preserve">no </w:t>
      </w:r>
      <w:r w:rsidR="00CD3C51" w:rsidRPr="00AB3E4B">
        <w:rPr>
          <w:rFonts w:ascii="Palatino Linotype" w:hAnsi="Palatino Linotype"/>
          <w:sz w:val="24"/>
          <w:szCs w:val="24"/>
        </w:rPr>
        <w:t>safety/ nuisance</w:t>
      </w:r>
      <w:r w:rsidR="006E23DC">
        <w:rPr>
          <w:rFonts w:ascii="Palatino Linotype" w:hAnsi="Palatino Linotype"/>
          <w:sz w:val="24"/>
          <w:szCs w:val="24"/>
        </w:rPr>
        <w:t xml:space="preserve"> issues</w:t>
      </w:r>
      <w:r w:rsidR="00CB5F07" w:rsidRPr="00AB3E4B">
        <w:rPr>
          <w:rFonts w:ascii="Palatino Linotype" w:hAnsi="Palatino Linotype"/>
          <w:sz w:val="24"/>
          <w:szCs w:val="24"/>
        </w:rPr>
        <w:t xml:space="preserve">, if there remains </w:t>
      </w:r>
      <w:r w:rsidR="006E23DC">
        <w:rPr>
          <w:rFonts w:ascii="Palatino Linotype" w:hAnsi="Palatino Linotype"/>
          <w:sz w:val="24"/>
          <w:szCs w:val="24"/>
        </w:rPr>
        <w:t>“</w:t>
      </w:r>
      <w:r w:rsidR="00CB5F07" w:rsidRPr="00AB3E4B">
        <w:rPr>
          <w:rFonts w:ascii="Palatino Linotype" w:hAnsi="Palatino Linotype"/>
          <w:sz w:val="24"/>
          <w:szCs w:val="24"/>
        </w:rPr>
        <w:t>other good reason</w:t>
      </w:r>
      <w:r w:rsidR="006E23DC">
        <w:rPr>
          <w:rFonts w:ascii="Palatino Linotype" w:hAnsi="Palatino Linotype"/>
          <w:sz w:val="24"/>
          <w:szCs w:val="24"/>
        </w:rPr>
        <w:t>”</w:t>
      </w:r>
      <w:r w:rsidR="005A7CFC" w:rsidRPr="00AB3E4B">
        <w:rPr>
          <w:rFonts w:ascii="Palatino Linotype" w:hAnsi="Palatino Linotype"/>
          <w:sz w:val="24"/>
          <w:szCs w:val="24"/>
        </w:rPr>
        <w:t>,</w:t>
      </w:r>
      <w:r w:rsidR="00CB5F07" w:rsidRPr="00AB3E4B">
        <w:rPr>
          <w:rFonts w:ascii="Palatino Linotype" w:hAnsi="Palatino Linotype"/>
          <w:sz w:val="24"/>
          <w:szCs w:val="24"/>
        </w:rPr>
        <w:t xml:space="preserve"> then that can include overprovision.  </w:t>
      </w:r>
      <w:r w:rsidR="00CD3C51" w:rsidRPr="00AB3E4B">
        <w:rPr>
          <w:rFonts w:ascii="Palatino Linotype" w:hAnsi="Palatino Linotype"/>
          <w:sz w:val="24"/>
          <w:szCs w:val="24"/>
        </w:rPr>
        <w:t xml:space="preserve"> </w:t>
      </w:r>
    </w:p>
    <w:p w:rsidR="005A7CFC" w:rsidRPr="00AB3E4B" w:rsidRDefault="00AA4B5F" w:rsidP="00AB3E4B">
      <w:pPr>
        <w:spacing w:line="360" w:lineRule="auto"/>
        <w:jc w:val="both"/>
        <w:rPr>
          <w:rFonts w:ascii="Palatino Linotype" w:hAnsi="Palatino Linotype"/>
          <w:b/>
          <w:sz w:val="24"/>
          <w:szCs w:val="24"/>
        </w:rPr>
      </w:pPr>
      <w:r w:rsidRPr="00AB3E4B">
        <w:rPr>
          <w:rFonts w:ascii="Palatino Linotype" w:hAnsi="Palatino Linotype"/>
          <w:b/>
          <w:sz w:val="24"/>
          <w:szCs w:val="24"/>
        </w:rPr>
        <w:t xml:space="preserve">As I understand matters though, earlier discussions in relation to the then draft SSI led to an acceptance from Scottish Government that  </w:t>
      </w:r>
      <w:r w:rsidR="005A7CFC" w:rsidRPr="00AB3E4B">
        <w:rPr>
          <w:rFonts w:ascii="Palatino Linotype" w:hAnsi="Palatino Linotype"/>
          <w:b/>
          <w:sz w:val="24"/>
          <w:szCs w:val="24"/>
        </w:rPr>
        <w:t xml:space="preserve"> overprovision should not form part of the scheme.</w:t>
      </w:r>
    </w:p>
    <w:p w:rsidR="005A7CFC" w:rsidRPr="00AB3E4B" w:rsidRDefault="005A7CFC" w:rsidP="00AB3E4B">
      <w:pPr>
        <w:spacing w:line="360" w:lineRule="auto"/>
        <w:jc w:val="both"/>
        <w:rPr>
          <w:rFonts w:ascii="Palatino Linotype" w:hAnsi="Palatino Linotype"/>
          <w:sz w:val="24"/>
          <w:szCs w:val="24"/>
        </w:rPr>
      </w:pPr>
      <w:r w:rsidRPr="00AB3E4B">
        <w:rPr>
          <w:rFonts w:ascii="Palatino Linotype" w:hAnsi="Palatino Linotype"/>
          <w:sz w:val="24"/>
          <w:szCs w:val="24"/>
        </w:rPr>
        <w:t>The concern</w:t>
      </w:r>
      <w:r w:rsidR="006E23DC">
        <w:rPr>
          <w:rFonts w:ascii="Palatino Linotype" w:hAnsi="Palatino Linotype"/>
          <w:sz w:val="24"/>
          <w:szCs w:val="24"/>
        </w:rPr>
        <w:t xml:space="preserve"> must be </w:t>
      </w:r>
      <w:r w:rsidRPr="00AB3E4B">
        <w:rPr>
          <w:rFonts w:ascii="Palatino Linotype" w:hAnsi="Palatino Linotype"/>
          <w:sz w:val="24"/>
          <w:szCs w:val="24"/>
        </w:rPr>
        <w:t>that standing th</w:t>
      </w:r>
      <w:r w:rsidR="006E23DC">
        <w:rPr>
          <w:rFonts w:ascii="Palatino Linotype" w:hAnsi="Palatino Linotype"/>
          <w:sz w:val="24"/>
          <w:szCs w:val="24"/>
        </w:rPr>
        <w:t>e caselaw interpretation</w:t>
      </w:r>
      <w:r w:rsidRPr="00AB3E4B">
        <w:rPr>
          <w:rFonts w:ascii="Palatino Linotype" w:hAnsi="Palatino Linotype"/>
          <w:sz w:val="24"/>
          <w:szCs w:val="24"/>
        </w:rPr>
        <w:t>, there is a risk that it could be re-incorporated by default given the blanket inclusion of para. 5(3)(d).</w:t>
      </w:r>
    </w:p>
    <w:p w:rsidR="00AA4B5F" w:rsidRPr="00AB3E4B" w:rsidRDefault="005A7CFC" w:rsidP="00AB3E4B">
      <w:pPr>
        <w:spacing w:line="360" w:lineRule="auto"/>
        <w:jc w:val="both"/>
        <w:rPr>
          <w:rFonts w:ascii="Palatino Linotype" w:hAnsi="Palatino Linotype"/>
          <w:b/>
          <w:sz w:val="24"/>
          <w:szCs w:val="24"/>
        </w:rPr>
      </w:pPr>
      <w:r w:rsidRPr="00AB3E4B">
        <w:rPr>
          <w:rFonts w:ascii="Palatino Linotype" w:hAnsi="Palatino Linotype"/>
          <w:b/>
          <w:sz w:val="24"/>
          <w:szCs w:val="24"/>
        </w:rPr>
        <w:t>Of course it would be open for an amendment to be made which qualified para. 5(3</w:t>
      </w:r>
      <w:r w:rsidR="00AB3E4B" w:rsidRPr="00AB3E4B">
        <w:rPr>
          <w:rFonts w:ascii="Palatino Linotype" w:hAnsi="Palatino Linotype"/>
          <w:b/>
          <w:sz w:val="24"/>
          <w:szCs w:val="24"/>
        </w:rPr>
        <w:t>) (</w:t>
      </w:r>
      <w:r w:rsidRPr="00AB3E4B">
        <w:rPr>
          <w:rFonts w:ascii="Palatino Linotype" w:hAnsi="Palatino Linotype"/>
          <w:b/>
          <w:sz w:val="24"/>
          <w:szCs w:val="24"/>
        </w:rPr>
        <w:t>d) by providing that “other good reason” did not include overprovision or any test or approach similar to that</w:t>
      </w:r>
      <w:r w:rsidR="006E23DC">
        <w:rPr>
          <w:rFonts w:ascii="Palatino Linotype" w:hAnsi="Palatino Linotype"/>
          <w:b/>
          <w:sz w:val="24"/>
          <w:szCs w:val="24"/>
        </w:rPr>
        <w:t xml:space="preserve"> or perhaps only allowed it to be applied to “the exceptions”</w:t>
      </w:r>
      <w:r w:rsidRPr="00AB3E4B">
        <w:rPr>
          <w:rFonts w:ascii="Palatino Linotype" w:hAnsi="Palatino Linotype"/>
          <w:b/>
          <w:sz w:val="24"/>
          <w:szCs w:val="24"/>
        </w:rPr>
        <w:t xml:space="preserve">.  </w:t>
      </w:r>
    </w:p>
    <w:p w:rsidR="00F23A3B" w:rsidRPr="00AB3E4B" w:rsidRDefault="00F23A3B" w:rsidP="00AB3E4B">
      <w:pPr>
        <w:pStyle w:val="ListBullet"/>
        <w:numPr>
          <w:ilvl w:val="0"/>
          <w:numId w:val="0"/>
        </w:numPr>
        <w:spacing w:line="360" w:lineRule="auto"/>
        <w:jc w:val="both"/>
        <w:rPr>
          <w:rFonts w:ascii="Palatino Linotype" w:hAnsi="Palatino Linotype"/>
          <w:b/>
          <w:sz w:val="24"/>
          <w:szCs w:val="24"/>
        </w:rPr>
      </w:pPr>
    </w:p>
    <w:p w:rsidR="005A7CFC" w:rsidRPr="00AB3E4B" w:rsidRDefault="005A7CFC" w:rsidP="00AB3E4B">
      <w:pPr>
        <w:pStyle w:val="ListBullet"/>
        <w:numPr>
          <w:ilvl w:val="0"/>
          <w:numId w:val="0"/>
        </w:numPr>
        <w:spacing w:line="360" w:lineRule="auto"/>
        <w:jc w:val="both"/>
        <w:rPr>
          <w:rFonts w:ascii="Palatino Linotype" w:hAnsi="Palatino Linotype"/>
          <w:b/>
          <w:sz w:val="24"/>
          <w:szCs w:val="24"/>
        </w:rPr>
      </w:pPr>
      <w:r w:rsidRPr="00AB3E4B">
        <w:rPr>
          <w:rFonts w:ascii="Palatino Linotype" w:hAnsi="Palatino Linotype"/>
          <w:b/>
          <w:sz w:val="24"/>
          <w:szCs w:val="24"/>
        </w:rPr>
        <w:t>If lawful-</w:t>
      </w:r>
      <w:r w:rsidR="00F23A3B" w:rsidRPr="00AB3E4B">
        <w:rPr>
          <w:rFonts w:ascii="Palatino Linotype" w:hAnsi="Palatino Linotype"/>
          <w:b/>
          <w:sz w:val="24"/>
          <w:szCs w:val="24"/>
        </w:rPr>
        <w:t xml:space="preserve"> what are </w:t>
      </w:r>
      <w:r w:rsidRPr="00AB3E4B">
        <w:rPr>
          <w:rFonts w:ascii="Palatino Linotype" w:hAnsi="Palatino Linotype"/>
          <w:b/>
          <w:sz w:val="24"/>
          <w:szCs w:val="24"/>
        </w:rPr>
        <w:t xml:space="preserve">the merits of an </w:t>
      </w:r>
      <w:r w:rsidR="006E23DC">
        <w:rPr>
          <w:rFonts w:ascii="Palatino Linotype" w:hAnsi="Palatino Linotype"/>
          <w:b/>
          <w:sz w:val="24"/>
          <w:szCs w:val="24"/>
        </w:rPr>
        <w:t>o</w:t>
      </w:r>
      <w:r w:rsidRPr="00AB3E4B">
        <w:rPr>
          <w:rFonts w:ascii="Palatino Linotype" w:hAnsi="Palatino Linotype"/>
          <w:b/>
          <w:sz w:val="24"/>
          <w:szCs w:val="24"/>
        </w:rPr>
        <w:t>verprovision test</w:t>
      </w:r>
      <w:r w:rsidR="00F23A3B" w:rsidRPr="00AB3E4B">
        <w:rPr>
          <w:rFonts w:ascii="Palatino Linotype" w:hAnsi="Palatino Linotype"/>
          <w:b/>
          <w:sz w:val="24"/>
          <w:szCs w:val="24"/>
        </w:rPr>
        <w:t>?</w:t>
      </w:r>
    </w:p>
    <w:p w:rsidR="00F23A3B" w:rsidRPr="00AB3E4B" w:rsidRDefault="005A7CFC" w:rsidP="00AB3E4B">
      <w:pPr>
        <w:spacing w:line="360" w:lineRule="auto"/>
        <w:jc w:val="both"/>
        <w:rPr>
          <w:rFonts w:ascii="Palatino Linotype" w:hAnsi="Palatino Linotype"/>
          <w:sz w:val="24"/>
          <w:szCs w:val="24"/>
        </w:rPr>
      </w:pPr>
      <w:r w:rsidRPr="00AB3E4B">
        <w:rPr>
          <w:rFonts w:ascii="Palatino Linotype" w:hAnsi="Palatino Linotype"/>
          <w:sz w:val="24"/>
          <w:szCs w:val="24"/>
        </w:rPr>
        <w:t>Of course by importing overprovision by the “back door</w:t>
      </w:r>
      <w:r w:rsidR="00AB3E4B" w:rsidRPr="00AB3E4B">
        <w:rPr>
          <w:rFonts w:ascii="Palatino Linotype" w:hAnsi="Palatino Linotype"/>
          <w:sz w:val="24"/>
          <w:szCs w:val="24"/>
        </w:rPr>
        <w:t>” under</w:t>
      </w:r>
      <w:r w:rsidRPr="00AB3E4B">
        <w:rPr>
          <w:rFonts w:ascii="Palatino Linotype" w:hAnsi="Palatino Linotype"/>
          <w:sz w:val="24"/>
          <w:szCs w:val="24"/>
        </w:rPr>
        <w:t xml:space="preserve"> para. 5(3</w:t>
      </w:r>
      <w:r w:rsidR="00AB3E4B" w:rsidRPr="00AB3E4B">
        <w:rPr>
          <w:rFonts w:ascii="Palatino Linotype" w:hAnsi="Palatino Linotype"/>
          <w:sz w:val="24"/>
          <w:szCs w:val="24"/>
        </w:rPr>
        <w:t>) (</w:t>
      </w:r>
      <w:r w:rsidRPr="00AB3E4B">
        <w:rPr>
          <w:rFonts w:ascii="Palatino Linotype" w:hAnsi="Palatino Linotype"/>
          <w:sz w:val="24"/>
          <w:szCs w:val="24"/>
        </w:rPr>
        <w:t xml:space="preserve">d), it might be said that </w:t>
      </w:r>
      <w:r w:rsidR="006E23DC">
        <w:rPr>
          <w:rFonts w:ascii="Palatino Linotype" w:hAnsi="Palatino Linotype"/>
          <w:sz w:val="24"/>
          <w:szCs w:val="24"/>
        </w:rPr>
        <w:t xml:space="preserve">it </w:t>
      </w:r>
      <w:r w:rsidRPr="00AB3E4B">
        <w:rPr>
          <w:rFonts w:ascii="Palatino Linotype" w:hAnsi="Palatino Linotype"/>
          <w:sz w:val="24"/>
          <w:szCs w:val="24"/>
        </w:rPr>
        <w:t>is a blunt instrument</w:t>
      </w:r>
      <w:r w:rsidR="00F23A3B" w:rsidRPr="00AB3E4B">
        <w:rPr>
          <w:rFonts w:ascii="Palatino Linotype" w:hAnsi="Palatino Linotype"/>
          <w:sz w:val="24"/>
          <w:szCs w:val="24"/>
        </w:rPr>
        <w:t>,</w:t>
      </w:r>
      <w:r w:rsidRPr="00AB3E4B">
        <w:rPr>
          <w:rFonts w:ascii="Palatino Linotype" w:hAnsi="Palatino Linotype"/>
          <w:sz w:val="24"/>
          <w:szCs w:val="24"/>
        </w:rPr>
        <w:t xml:space="preserve"> as more recent examples of how overprovision </w:t>
      </w:r>
      <w:r w:rsidR="006E23DC">
        <w:rPr>
          <w:rFonts w:ascii="Palatino Linotype" w:hAnsi="Palatino Linotype"/>
          <w:sz w:val="24"/>
          <w:szCs w:val="24"/>
        </w:rPr>
        <w:t xml:space="preserve">should </w:t>
      </w:r>
      <w:r w:rsidRPr="00AB3E4B">
        <w:rPr>
          <w:rFonts w:ascii="Palatino Linotype" w:hAnsi="Palatino Linotype"/>
          <w:sz w:val="24"/>
          <w:szCs w:val="24"/>
        </w:rPr>
        <w:t xml:space="preserve">be approached in a licensing system are more sophisticated. </w:t>
      </w:r>
    </w:p>
    <w:p w:rsidR="005A7CFC" w:rsidRPr="00AB3E4B" w:rsidRDefault="005A7CFC" w:rsidP="00AB3E4B">
      <w:pPr>
        <w:spacing w:line="360" w:lineRule="auto"/>
        <w:jc w:val="both"/>
        <w:rPr>
          <w:rFonts w:ascii="Palatino Linotype" w:hAnsi="Palatino Linotype"/>
          <w:sz w:val="24"/>
          <w:szCs w:val="24"/>
        </w:rPr>
      </w:pPr>
      <w:r w:rsidRPr="00AB3E4B">
        <w:rPr>
          <w:rFonts w:ascii="Palatino Linotype" w:hAnsi="Palatino Linotype"/>
          <w:sz w:val="24"/>
          <w:szCs w:val="24"/>
        </w:rPr>
        <w:lastRenderedPageBreak/>
        <w:t>So for example in relation to liquor licensing a Licensing Board must have, under section 7 of the Licensing (Scotland) Act 2005</w:t>
      </w:r>
      <w:r w:rsidR="006E23DC">
        <w:rPr>
          <w:rFonts w:ascii="Palatino Linotype" w:hAnsi="Palatino Linotype"/>
          <w:sz w:val="24"/>
          <w:szCs w:val="24"/>
        </w:rPr>
        <w:t>,</w:t>
      </w:r>
      <w:r w:rsidRPr="00AB3E4B">
        <w:rPr>
          <w:rFonts w:ascii="Palatino Linotype" w:hAnsi="Palatino Linotype"/>
          <w:sz w:val="24"/>
          <w:szCs w:val="24"/>
        </w:rPr>
        <w:t xml:space="preserve"> a properly evidenced and supportable overprovision policy, arrived at after due consultation and having had regard to statutory guidance and which it must take account of when deciding whether or not to grant or refuse on grounds of overprovision</w:t>
      </w:r>
      <w:r w:rsidR="006E23DC">
        <w:rPr>
          <w:rFonts w:ascii="Palatino Linotype" w:hAnsi="Palatino Linotype"/>
          <w:sz w:val="24"/>
          <w:szCs w:val="24"/>
        </w:rPr>
        <w:t xml:space="preserve"> under section 23(5</w:t>
      </w:r>
      <w:r w:rsidR="00463CDC">
        <w:rPr>
          <w:rFonts w:ascii="Palatino Linotype" w:hAnsi="Palatino Linotype"/>
          <w:sz w:val="24"/>
          <w:szCs w:val="24"/>
        </w:rPr>
        <w:t>) (</w:t>
      </w:r>
      <w:r w:rsidR="006E23DC">
        <w:rPr>
          <w:rFonts w:ascii="Palatino Linotype" w:hAnsi="Palatino Linotype"/>
          <w:sz w:val="24"/>
          <w:szCs w:val="24"/>
        </w:rPr>
        <w:t>e)</w:t>
      </w:r>
      <w:r w:rsidRPr="00AB3E4B">
        <w:rPr>
          <w:rFonts w:ascii="Palatino Linotype" w:hAnsi="Palatino Linotype"/>
          <w:sz w:val="24"/>
          <w:szCs w:val="24"/>
        </w:rPr>
        <w:t xml:space="preserve">. </w:t>
      </w:r>
    </w:p>
    <w:p w:rsidR="005A7CFC" w:rsidRPr="00AB3E4B" w:rsidRDefault="005A7CFC" w:rsidP="00AB3E4B">
      <w:pPr>
        <w:spacing w:line="360" w:lineRule="auto"/>
        <w:jc w:val="both"/>
        <w:rPr>
          <w:rFonts w:ascii="Palatino Linotype" w:hAnsi="Palatino Linotype"/>
          <w:sz w:val="24"/>
          <w:szCs w:val="24"/>
        </w:rPr>
      </w:pPr>
      <w:r w:rsidRPr="00AB3E4B">
        <w:rPr>
          <w:rFonts w:ascii="Palatino Linotype" w:hAnsi="Palatino Linotype"/>
          <w:sz w:val="24"/>
          <w:szCs w:val="24"/>
        </w:rPr>
        <w:t>One of the reasons section 7 was introduced was that under the previous Licensing (Scotland) Act 1976 section 17(1</w:t>
      </w:r>
      <w:r w:rsidR="00AB3E4B" w:rsidRPr="00AB3E4B">
        <w:rPr>
          <w:rFonts w:ascii="Palatino Linotype" w:hAnsi="Palatino Linotype"/>
          <w:sz w:val="24"/>
          <w:szCs w:val="24"/>
        </w:rPr>
        <w:t>) (</w:t>
      </w:r>
      <w:r w:rsidRPr="00AB3E4B">
        <w:rPr>
          <w:rFonts w:ascii="Palatino Linotype" w:hAnsi="Palatino Linotype"/>
          <w:sz w:val="24"/>
          <w:szCs w:val="24"/>
        </w:rPr>
        <w:t>d) overprovision as a licensing test had become somewhat disreputable.</w:t>
      </w:r>
    </w:p>
    <w:p w:rsidR="00F23A3B" w:rsidRPr="00AB3E4B" w:rsidRDefault="005A7CFC" w:rsidP="00AB3E4B">
      <w:pPr>
        <w:spacing w:line="360" w:lineRule="auto"/>
        <w:jc w:val="both"/>
        <w:rPr>
          <w:rFonts w:ascii="Palatino Linotype" w:hAnsi="Palatino Linotype"/>
          <w:sz w:val="24"/>
          <w:szCs w:val="24"/>
        </w:rPr>
      </w:pPr>
      <w:r w:rsidRPr="00AB3E4B">
        <w:rPr>
          <w:rFonts w:ascii="Palatino Linotype" w:hAnsi="Palatino Linotype"/>
          <w:sz w:val="24"/>
          <w:szCs w:val="24"/>
        </w:rPr>
        <w:t xml:space="preserve">Unlike overprovision  </w:t>
      </w:r>
      <w:r w:rsidR="006E23DC">
        <w:rPr>
          <w:rFonts w:ascii="Palatino Linotype" w:hAnsi="Palatino Linotype"/>
          <w:sz w:val="24"/>
          <w:szCs w:val="24"/>
        </w:rPr>
        <w:t xml:space="preserve"> </w:t>
      </w:r>
      <w:r w:rsidRPr="00AB3E4B">
        <w:rPr>
          <w:rFonts w:ascii="Palatino Linotype" w:hAnsi="Palatino Linotype"/>
          <w:sz w:val="24"/>
          <w:szCs w:val="24"/>
        </w:rPr>
        <w:t>under section 23(5</w:t>
      </w:r>
      <w:r w:rsidR="00463CDC" w:rsidRPr="00AB3E4B">
        <w:rPr>
          <w:rFonts w:ascii="Palatino Linotype" w:hAnsi="Palatino Linotype"/>
          <w:sz w:val="24"/>
          <w:szCs w:val="24"/>
        </w:rPr>
        <w:t>) (</w:t>
      </w:r>
      <w:r w:rsidRPr="00AB3E4B">
        <w:rPr>
          <w:rFonts w:ascii="Palatino Linotype" w:hAnsi="Palatino Linotype"/>
          <w:sz w:val="24"/>
          <w:szCs w:val="24"/>
        </w:rPr>
        <w:t>e) of the Licensing (Scotland) Act 2005</w:t>
      </w:r>
      <w:r w:rsidR="00463CDC" w:rsidRPr="00AB3E4B">
        <w:rPr>
          <w:rFonts w:ascii="Palatino Linotype" w:hAnsi="Palatino Linotype"/>
          <w:sz w:val="24"/>
          <w:szCs w:val="24"/>
        </w:rPr>
        <w:t>, any</w:t>
      </w:r>
      <w:r w:rsidRPr="00AB3E4B">
        <w:rPr>
          <w:rFonts w:ascii="Palatino Linotype" w:hAnsi="Palatino Linotype"/>
          <w:sz w:val="24"/>
          <w:szCs w:val="24"/>
        </w:rPr>
        <w:t xml:space="preserve"> overprovision test </w:t>
      </w:r>
      <w:r w:rsidR="006E23DC">
        <w:rPr>
          <w:rFonts w:ascii="Palatino Linotype" w:hAnsi="Palatino Linotype"/>
          <w:sz w:val="24"/>
          <w:szCs w:val="24"/>
        </w:rPr>
        <w:t>in para. 5(3</w:t>
      </w:r>
      <w:r w:rsidR="00463CDC">
        <w:rPr>
          <w:rFonts w:ascii="Palatino Linotype" w:hAnsi="Palatino Linotype"/>
          <w:sz w:val="24"/>
          <w:szCs w:val="24"/>
        </w:rPr>
        <w:t>) (</w:t>
      </w:r>
      <w:r w:rsidR="006E23DC">
        <w:rPr>
          <w:rFonts w:ascii="Palatino Linotype" w:hAnsi="Palatino Linotype"/>
          <w:sz w:val="24"/>
          <w:szCs w:val="24"/>
        </w:rPr>
        <w:t xml:space="preserve">c) </w:t>
      </w:r>
      <w:r w:rsidRPr="00AB3E4B">
        <w:rPr>
          <w:rFonts w:ascii="Palatino Linotype" w:hAnsi="Palatino Linotype"/>
          <w:sz w:val="24"/>
          <w:szCs w:val="24"/>
        </w:rPr>
        <w:t xml:space="preserve">is not hedged with statements of the </w:t>
      </w:r>
      <w:r w:rsidR="00463CDC" w:rsidRPr="00AB3E4B">
        <w:rPr>
          <w:rFonts w:ascii="Palatino Linotype" w:hAnsi="Palatino Linotype"/>
          <w:sz w:val="24"/>
          <w:szCs w:val="24"/>
        </w:rPr>
        <w:t>considerations (</w:t>
      </w:r>
      <w:r w:rsidRPr="00AB3E4B">
        <w:rPr>
          <w:rFonts w:ascii="Palatino Linotype" w:hAnsi="Palatino Linotype"/>
          <w:sz w:val="24"/>
          <w:szCs w:val="24"/>
        </w:rPr>
        <w:t xml:space="preserve">numbers/ size/ capacity or other) which inform whether overprovision has been reached. There is no requirement to have a policy on overprovision such as a 2005 Act section 7 policy which would be consulted on </w:t>
      </w:r>
      <w:r w:rsidR="00463CDC">
        <w:rPr>
          <w:rFonts w:ascii="Palatino Linotype" w:hAnsi="Palatino Linotype"/>
          <w:sz w:val="24"/>
          <w:szCs w:val="24"/>
        </w:rPr>
        <w:t xml:space="preserve">and </w:t>
      </w:r>
      <w:r w:rsidR="00463CDC" w:rsidRPr="00AB3E4B">
        <w:rPr>
          <w:rFonts w:ascii="Palatino Linotype" w:hAnsi="Palatino Linotype"/>
          <w:sz w:val="24"/>
          <w:szCs w:val="24"/>
        </w:rPr>
        <w:t>be</w:t>
      </w:r>
      <w:r w:rsidRPr="00AB3E4B">
        <w:rPr>
          <w:rFonts w:ascii="Palatino Linotype" w:hAnsi="Palatino Linotype"/>
          <w:sz w:val="24"/>
          <w:szCs w:val="24"/>
        </w:rPr>
        <w:t xml:space="preserve"> informed by </w:t>
      </w:r>
      <w:r w:rsidR="006E23DC">
        <w:rPr>
          <w:rFonts w:ascii="Palatino Linotype" w:hAnsi="Palatino Linotype"/>
          <w:sz w:val="24"/>
          <w:szCs w:val="24"/>
        </w:rPr>
        <w:t xml:space="preserve">both </w:t>
      </w:r>
      <w:r w:rsidRPr="00AB3E4B">
        <w:rPr>
          <w:rFonts w:ascii="Palatino Linotype" w:hAnsi="Palatino Linotype"/>
          <w:sz w:val="24"/>
          <w:szCs w:val="24"/>
        </w:rPr>
        <w:t xml:space="preserve">that </w:t>
      </w:r>
      <w:r w:rsidR="006E23DC">
        <w:rPr>
          <w:rFonts w:ascii="Palatino Linotype" w:hAnsi="Palatino Linotype"/>
          <w:sz w:val="24"/>
          <w:szCs w:val="24"/>
        </w:rPr>
        <w:t xml:space="preserve">process </w:t>
      </w:r>
      <w:r w:rsidRPr="00AB3E4B">
        <w:rPr>
          <w:rFonts w:ascii="Palatino Linotype" w:hAnsi="Palatino Linotype"/>
          <w:sz w:val="24"/>
          <w:szCs w:val="24"/>
        </w:rPr>
        <w:t xml:space="preserve">and relevant evidence and be published. </w:t>
      </w:r>
    </w:p>
    <w:p w:rsidR="005A7CFC" w:rsidRPr="00AB3E4B" w:rsidRDefault="005A7CFC" w:rsidP="00AB3E4B">
      <w:pPr>
        <w:spacing w:line="360" w:lineRule="auto"/>
        <w:jc w:val="both"/>
        <w:rPr>
          <w:rFonts w:ascii="Palatino Linotype" w:hAnsi="Palatino Linotype"/>
          <w:sz w:val="24"/>
          <w:szCs w:val="24"/>
        </w:rPr>
      </w:pPr>
      <w:r w:rsidRPr="00AB3E4B">
        <w:rPr>
          <w:rFonts w:ascii="Palatino Linotype" w:hAnsi="Palatino Linotype"/>
          <w:sz w:val="24"/>
          <w:szCs w:val="24"/>
        </w:rPr>
        <w:t>The overprovision provisions in the Licensing (Scotland) Act 1976 (section 17(</w:t>
      </w:r>
      <w:r w:rsidR="00F23A3B" w:rsidRPr="00AB3E4B">
        <w:rPr>
          <w:rFonts w:ascii="Palatino Linotype" w:hAnsi="Palatino Linotype"/>
          <w:sz w:val="24"/>
          <w:szCs w:val="24"/>
        </w:rPr>
        <w:t>1</w:t>
      </w:r>
      <w:r w:rsidR="00AB3E4B" w:rsidRPr="00AB3E4B">
        <w:rPr>
          <w:rFonts w:ascii="Palatino Linotype" w:hAnsi="Palatino Linotype"/>
          <w:sz w:val="24"/>
          <w:szCs w:val="24"/>
        </w:rPr>
        <w:t>) (</w:t>
      </w:r>
      <w:r w:rsidRPr="00AB3E4B">
        <w:rPr>
          <w:rFonts w:ascii="Palatino Linotype" w:hAnsi="Palatino Linotype"/>
          <w:sz w:val="24"/>
          <w:szCs w:val="24"/>
        </w:rPr>
        <w:t>d)) became problematic because overprovision became just a numbers game and led to arbitrary and opaque decisions.</w:t>
      </w:r>
      <w:r w:rsidR="00F23A3B" w:rsidRPr="00AB3E4B">
        <w:rPr>
          <w:rFonts w:ascii="Palatino Linotype" w:hAnsi="Palatino Linotype"/>
          <w:sz w:val="24"/>
          <w:szCs w:val="24"/>
        </w:rPr>
        <w:t xml:space="preserve"> There may be an argument that overprovision via para. 5(3)(d) absent any guidance in the caselaw or legislation on what constitutes overprovision would lead to the same problems as befell the 1976 Act.  </w:t>
      </w:r>
    </w:p>
    <w:p w:rsidR="005A7CFC" w:rsidRPr="00AB3E4B" w:rsidRDefault="006E23DC" w:rsidP="00AB3E4B">
      <w:pPr>
        <w:spacing w:line="360" w:lineRule="auto"/>
        <w:jc w:val="both"/>
        <w:rPr>
          <w:rFonts w:ascii="Palatino Linotype" w:hAnsi="Palatino Linotype"/>
          <w:sz w:val="24"/>
          <w:szCs w:val="24"/>
        </w:rPr>
      </w:pPr>
      <w:r>
        <w:rPr>
          <w:rFonts w:ascii="Palatino Linotype" w:hAnsi="Palatino Linotype"/>
          <w:sz w:val="24"/>
          <w:szCs w:val="24"/>
        </w:rPr>
        <w:t>For example a</w:t>
      </w:r>
      <w:r w:rsidR="005A7CFC" w:rsidRPr="00AB3E4B">
        <w:rPr>
          <w:rFonts w:ascii="Palatino Linotype" w:hAnsi="Palatino Linotype"/>
          <w:sz w:val="24"/>
          <w:szCs w:val="24"/>
        </w:rPr>
        <w:t>s the Guidance under section 142 of the 2005 Act says-</w:t>
      </w:r>
    </w:p>
    <w:p w:rsidR="005A7CFC" w:rsidRPr="00AB3E4B" w:rsidRDefault="005A7CFC" w:rsidP="00AB3E4B">
      <w:pPr>
        <w:spacing w:line="360" w:lineRule="auto"/>
        <w:jc w:val="both"/>
        <w:rPr>
          <w:rFonts w:ascii="Palatino Linotype" w:hAnsi="Palatino Linotype"/>
          <w:i/>
          <w:sz w:val="24"/>
          <w:szCs w:val="24"/>
        </w:rPr>
      </w:pPr>
      <w:r w:rsidRPr="00AB3E4B">
        <w:rPr>
          <w:rFonts w:ascii="Palatino Linotype" w:hAnsi="Palatino Linotype"/>
          <w:b/>
          <w:i/>
          <w:sz w:val="24"/>
          <w:szCs w:val="24"/>
        </w:rPr>
        <w:t>“</w:t>
      </w:r>
      <w:r w:rsidRPr="00AB3E4B">
        <w:rPr>
          <w:rFonts w:ascii="Palatino Linotype" w:hAnsi="Palatino Linotype"/>
          <w:i/>
          <w:sz w:val="24"/>
          <w:szCs w:val="24"/>
        </w:rPr>
        <w:t xml:space="preserve">Overprovision: the previous law </w:t>
      </w:r>
    </w:p>
    <w:p w:rsidR="005A7CFC" w:rsidRPr="00AB3E4B" w:rsidRDefault="005A7CFC" w:rsidP="00AB3E4B">
      <w:pPr>
        <w:spacing w:line="360" w:lineRule="auto"/>
        <w:jc w:val="both"/>
        <w:rPr>
          <w:rFonts w:ascii="Palatino Linotype" w:hAnsi="Palatino Linotype"/>
          <w:i/>
          <w:sz w:val="24"/>
          <w:szCs w:val="24"/>
        </w:rPr>
      </w:pPr>
      <w:r w:rsidRPr="00AB3E4B">
        <w:rPr>
          <w:rFonts w:ascii="Palatino Linotype" w:hAnsi="Palatino Linotype"/>
          <w:i/>
          <w:sz w:val="24"/>
          <w:szCs w:val="24"/>
        </w:rPr>
        <w:t xml:space="preserve">29. In terms of Section 17(1)(d) of the Licensing (Scotland) Act 1976, a Licensing Board must refuse an application for a new licence if, having regard to: "(i) the number of licensed premises in the locality at the time the application is considered; and (ii) the number of premises in respect of which the provisional grant of a new licence is in force, the Board is </w:t>
      </w:r>
      <w:r w:rsidRPr="00AB3E4B">
        <w:rPr>
          <w:rFonts w:ascii="Palatino Linotype" w:hAnsi="Palatino Linotype"/>
          <w:i/>
          <w:sz w:val="24"/>
          <w:szCs w:val="24"/>
        </w:rPr>
        <w:lastRenderedPageBreak/>
        <w:t xml:space="preserve">satisfied that the grant of the application would result in the overprovision of licensed premises in the locality." </w:t>
      </w:r>
    </w:p>
    <w:p w:rsidR="005A7CFC" w:rsidRPr="00AB3E4B" w:rsidRDefault="005A7CFC" w:rsidP="00AB3E4B">
      <w:pPr>
        <w:spacing w:line="360" w:lineRule="auto"/>
        <w:jc w:val="both"/>
        <w:rPr>
          <w:rFonts w:ascii="Palatino Linotype" w:hAnsi="Palatino Linotype"/>
          <w:b/>
          <w:i/>
          <w:sz w:val="24"/>
          <w:szCs w:val="24"/>
        </w:rPr>
      </w:pPr>
      <w:r w:rsidRPr="00AB3E4B">
        <w:rPr>
          <w:rFonts w:ascii="Palatino Linotype" w:hAnsi="Palatino Linotype"/>
          <w:i/>
          <w:sz w:val="24"/>
          <w:szCs w:val="24"/>
        </w:rPr>
        <w:t xml:space="preserve">30. The Nicholson Committee's Report concluded that this approach to overprovision results in a </w:t>
      </w:r>
      <w:r w:rsidRPr="00AB3E4B">
        <w:rPr>
          <w:rFonts w:ascii="Palatino Linotype" w:hAnsi="Palatino Linotype"/>
          <w:b/>
          <w:i/>
          <w:sz w:val="24"/>
          <w:szCs w:val="24"/>
        </w:rPr>
        <w:t>"largely arithmetical exercise" which is "imprecise and unworkable in any meaningful sense".</w:t>
      </w:r>
    </w:p>
    <w:p w:rsidR="005A7CFC" w:rsidRPr="00AB3E4B" w:rsidRDefault="00AB3E4B" w:rsidP="00AB3E4B">
      <w:pPr>
        <w:spacing w:line="360" w:lineRule="auto"/>
        <w:jc w:val="both"/>
        <w:rPr>
          <w:rFonts w:ascii="Palatino Linotype" w:hAnsi="Palatino Linotype"/>
          <w:sz w:val="24"/>
          <w:szCs w:val="24"/>
        </w:rPr>
      </w:pPr>
      <w:r w:rsidRPr="00AB3E4B">
        <w:rPr>
          <w:rFonts w:ascii="Palatino Linotype" w:hAnsi="Palatino Linotype"/>
          <w:sz w:val="24"/>
          <w:szCs w:val="24"/>
        </w:rPr>
        <w:t>Unlike overprovision under</w:t>
      </w:r>
      <w:r w:rsidR="005A7CFC" w:rsidRPr="00AB3E4B">
        <w:rPr>
          <w:rFonts w:ascii="Palatino Linotype" w:hAnsi="Palatino Linotype"/>
          <w:sz w:val="24"/>
          <w:szCs w:val="24"/>
        </w:rPr>
        <w:t xml:space="preserve"> section 23(5</w:t>
      </w:r>
      <w:r w:rsidRPr="00AB3E4B">
        <w:rPr>
          <w:rFonts w:ascii="Palatino Linotype" w:hAnsi="Palatino Linotype"/>
          <w:sz w:val="24"/>
          <w:szCs w:val="24"/>
        </w:rPr>
        <w:t>) (</w:t>
      </w:r>
      <w:r w:rsidR="005A7CFC" w:rsidRPr="00AB3E4B">
        <w:rPr>
          <w:rFonts w:ascii="Palatino Linotype" w:hAnsi="Palatino Linotype"/>
          <w:sz w:val="24"/>
          <w:szCs w:val="24"/>
        </w:rPr>
        <w:t>e) of the Licensing (Scotland) Act 2005</w:t>
      </w:r>
      <w:r w:rsidRPr="00AB3E4B">
        <w:rPr>
          <w:rFonts w:ascii="Palatino Linotype" w:hAnsi="Palatino Linotype"/>
          <w:sz w:val="24"/>
          <w:szCs w:val="24"/>
        </w:rPr>
        <w:t>, any</w:t>
      </w:r>
      <w:r w:rsidR="005A7CFC" w:rsidRPr="00AB3E4B">
        <w:rPr>
          <w:rFonts w:ascii="Palatino Linotype" w:hAnsi="Palatino Linotype"/>
          <w:sz w:val="24"/>
          <w:szCs w:val="24"/>
        </w:rPr>
        <w:t xml:space="preserve"> overprovision test </w:t>
      </w:r>
      <w:r w:rsidR="00F23A3B" w:rsidRPr="00AB3E4B">
        <w:rPr>
          <w:rFonts w:ascii="Palatino Linotype" w:hAnsi="Palatino Linotype"/>
          <w:sz w:val="24"/>
          <w:szCs w:val="24"/>
        </w:rPr>
        <w:t>under para. 5(3</w:t>
      </w:r>
      <w:r w:rsidR="00463CDC" w:rsidRPr="00AB3E4B">
        <w:rPr>
          <w:rFonts w:ascii="Palatino Linotype" w:hAnsi="Palatino Linotype"/>
          <w:sz w:val="24"/>
          <w:szCs w:val="24"/>
        </w:rPr>
        <w:t>) (</w:t>
      </w:r>
      <w:r w:rsidR="00F23A3B" w:rsidRPr="00AB3E4B">
        <w:rPr>
          <w:rFonts w:ascii="Palatino Linotype" w:hAnsi="Palatino Linotype"/>
          <w:sz w:val="24"/>
          <w:szCs w:val="24"/>
        </w:rPr>
        <w:t xml:space="preserve">d) </w:t>
      </w:r>
      <w:r w:rsidR="005A7CFC" w:rsidRPr="00AB3E4B">
        <w:rPr>
          <w:rFonts w:ascii="Palatino Linotype" w:hAnsi="Palatino Linotype"/>
          <w:sz w:val="24"/>
          <w:szCs w:val="24"/>
        </w:rPr>
        <w:t xml:space="preserve">is not hedged with any statements of the </w:t>
      </w:r>
      <w:r w:rsidRPr="00AB3E4B">
        <w:rPr>
          <w:rFonts w:ascii="Palatino Linotype" w:hAnsi="Palatino Linotype"/>
          <w:sz w:val="24"/>
          <w:szCs w:val="24"/>
        </w:rPr>
        <w:t>considerations numbers</w:t>
      </w:r>
      <w:r w:rsidR="005A7CFC" w:rsidRPr="00AB3E4B">
        <w:rPr>
          <w:rFonts w:ascii="Palatino Linotype" w:hAnsi="Palatino Linotype"/>
          <w:sz w:val="24"/>
          <w:szCs w:val="24"/>
        </w:rPr>
        <w:t>/ size/ capacity or other</w:t>
      </w:r>
      <w:r w:rsidR="00F23A3B" w:rsidRPr="00AB3E4B">
        <w:rPr>
          <w:rFonts w:ascii="Palatino Linotype" w:hAnsi="Palatino Linotype"/>
          <w:sz w:val="24"/>
          <w:szCs w:val="24"/>
        </w:rPr>
        <w:t>, w</w:t>
      </w:r>
      <w:r w:rsidR="005A7CFC" w:rsidRPr="00AB3E4B">
        <w:rPr>
          <w:rFonts w:ascii="Palatino Linotype" w:hAnsi="Palatino Linotype"/>
          <w:sz w:val="24"/>
          <w:szCs w:val="24"/>
        </w:rPr>
        <w:t xml:space="preserve">hich inform whether overprovision has been reached. </w:t>
      </w:r>
    </w:p>
    <w:p w:rsidR="00F23A3B" w:rsidRPr="00AB3E4B" w:rsidRDefault="00F23A3B" w:rsidP="00AB3E4B">
      <w:pPr>
        <w:spacing w:line="360" w:lineRule="auto"/>
        <w:jc w:val="both"/>
        <w:rPr>
          <w:rFonts w:ascii="Palatino Linotype" w:hAnsi="Palatino Linotype"/>
          <w:sz w:val="24"/>
          <w:szCs w:val="24"/>
        </w:rPr>
      </w:pPr>
      <w:r w:rsidRPr="00AB3E4B">
        <w:rPr>
          <w:rFonts w:ascii="Palatino Linotype" w:hAnsi="Palatino Linotype"/>
          <w:sz w:val="24"/>
          <w:szCs w:val="24"/>
        </w:rPr>
        <w:t>Under para. 5(3)(d) t</w:t>
      </w:r>
      <w:r w:rsidR="005A7CFC" w:rsidRPr="00AB3E4B">
        <w:rPr>
          <w:rFonts w:ascii="Palatino Linotype" w:hAnsi="Palatino Linotype"/>
          <w:sz w:val="24"/>
          <w:szCs w:val="24"/>
        </w:rPr>
        <w:t>here is no requirement to have a policy on overprovision such as a 2005 Act section 7 policy which would be consulted on in and advance, be informed by that and relevant evidence and be published.</w:t>
      </w:r>
    </w:p>
    <w:p w:rsidR="005A7CFC" w:rsidRPr="00AB3E4B" w:rsidRDefault="006E23DC" w:rsidP="00AB3E4B">
      <w:pPr>
        <w:spacing w:line="360" w:lineRule="auto"/>
        <w:jc w:val="both"/>
        <w:rPr>
          <w:rFonts w:ascii="Palatino Linotype" w:hAnsi="Palatino Linotype"/>
          <w:sz w:val="24"/>
          <w:szCs w:val="24"/>
        </w:rPr>
      </w:pPr>
      <w:r>
        <w:rPr>
          <w:rFonts w:ascii="Palatino Linotype" w:hAnsi="Palatino Linotype"/>
          <w:sz w:val="24"/>
          <w:szCs w:val="24"/>
        </w:rPr>
        <w:t>As noted b</w:t>
      </w:r>
      <w:r w:rsidR="00F23A3B" w:rsidRPr="00AB3E4B">
        <w:rPr>
          <w:rFonts w:ascii="Palatino Linotype" w:hAnsi="Palatino Linotype"/>
          <w:sz w:val="24"/>
          <w:szCs w:val="24"/>
        </w:rPr>
        <w:t>y contrast t</w:t>
      </w:r>
      <w:r w:rsidR="005A7CFC" w:rsidRPr="00AB3E4B">
        <w:rPr>
          <w:rFonts w:ascii="Palatino Linotype" w:hAnsi="Palatino Linotype"/>
          <w:sz w:val="24"/>
          <w:szCs w:val="24"/>
        </w:rPr>
        <w:t>he overprovision provisions in the Licensing (Scotland) Act 1976 (section 17(</w:t>
      </w:r>
      <w:r w:rsidR="00F23A3B" w:rsidRPr="00AB3E4B">
        <w:rPr>
          <w:rFonts w:ascii="Palatino Linotype" w:hAnsi="Palatino Linotype"/>
          <w:sz w:val="24"/>
          <w:szCs w:val="24"/>
        </w:rPr>
        <w:t>1</w:t>
      </w:r>
      <w:r w:rsidR="00463CDC" w:rsidRPr="00AB3E4B">
        <w:rPr>
          <w:rFonts w:ascii="Palatino Linotype" w:hAnsi="Palatino Linotype"/>
          <w:sz w:val="24"/>
          <w:szCs w:val="24"/>
        </w:rPr>
        <w:t>) (</w:t>
      </w:r>
      <w:r w:rsidR="005A7CFC" w:rsidRPr="00AB3E4B">
        <w:rPr>
          <w:rFonts w:ascii="Palatino Linotype" w:hAnsi="Palatino Linotype"/>
          <w:sz w:val="24"/>
          <w:szCs w:val="24"/>
        </w:rPr>
        <w:t>d)) became problematic because overprovision became just a numbers game and led to arbitrary and opaque decisions with attendant cynicism about Board decision making.</w:t>
      </w:r>
    </w:p>
    <w:p w:rsidR="005E032F" w:rsidRPr="00AB3E4B" w:rsidRDefault="005A7CFC" w:rsidP="00AB3E4B">
      <w:pPr>
        <w:spacing w:line="360" w:lineRule="auto"/>
        <w:jc w:val="both"/>
        <w:rPr>
          <w:rFonts w:ascii="Palatino Linotype" w:hAnsi="Palatino Linotype"/>
          <w:sz w:val="24"/>
          <w:szCs w:val="24"/>
        </w:rPr>
      </w:pPr>
      <w:r w:rsidRPr="00AB3E4B">
        <w:rPr>
          <w:rFonts w:ascii="Palatino Linotype" w:hAnsi="Palatino Linotype"/>
          <w:sz w:val="24"/>
          <w:szCs w:val="24"/>
        </w:rPr>
        <w:t>Accordingly a power to have overprovision as a basis for refusal for STLs may be unattractive if it rested simply on para. 5(3</w:t>
      </w:r>
      <w:r w:rsidR="00AB3E4B" w:rsidRPr="00AB3E4B">
        <w:rPr>
          <w:rFonts w:ascii="Palatino Linotype" w:hAnsi="Palatino Linotype"/>
          <w:sz w:val="24"/>
          <w:szCs w:val="24"/>
        </w:rPr>
        <w:t>) (</w:t>
      </w:r>
      <w:r w:rsidRPr="00AB3E4B">
        <w:rPr>
          <w:rFonts w:ascii="Palatino Linotype" w:hAnsi="Palatino Linotype"/>
          <w:sz w:val="24"/>
          <w:szCs w:val="24"/>
        </w:rPr>
        <w:t xml:space="preserve">d). It could, absent a properly derived policy on overprovision, become </w:t>
      </w:r>
      <w:r w:rsidR="005E032F" w:rsidRPr="00AB3E4B">
        <w:rPr>
          <w:rFonts w:ascii="Palatino Linotype" w:hAnsi="Palatino Linotype"/>
          <w:sz w:val="24"/>
          <w:szCs w:val="24"/>
        </w:rPr>
        <w:t>“</w:t>
      </w:r>
      <w:r w:rsidRPr="00AB3E4B">
        <w:rPr>
          <w:rFonts w:ascii="Palatino Linotype" w:hAnsi="Palatino Linotype"/>
          <w:sz w:val="24"/>
          <w:szCs w:val="24"/>
        </w:rPr>
        <w:t>just a numbers game.</w:t>
      </w:r>
      <w:r w:rsidR="005E032F" w:rsidRPr="00AB3E4B">
        <w:rPr>
          <w:rFonts w:ascii="Palatino Linotype" w:hAnsi="Palatino Linotype"/>
          <w:sz w:val="24"/>
          <w:szCs w:val="24"/>
        </w:rPr>
        <w:t>”</w:t>
      </w:r>
    </w:p>
    <w:p w:rsidR="005A7CFC" w:rsidRPr="00AB3E4B" w:rsidRDefault="005A7CFC" w:rsidP="00AB3E4B">
      <w:pPr>
        <w:spacing w:line="360" w:lineRule="auto"/>
        <w:jc w:val="both"/>
        <w:rPr>
          <w:rFonts w:ascii="Palatino Linotype" w:hAnsi="Palatino Linotype"/>
          <w:sz w:val="24"/>
          <w:szCs w:val="24"/>
        </w:rPr>
      </w:pPr>
      <w:r w:rsidRPr="00AB3E4B">
        <w:rPr>
          <w:rFonts w:ascii="Palatino Linotype" w:hAnsi="Palatino Linotype"/>
          <w:sz w:val="24"/>
          <w:szCs w:val="24"/>
        </w:rPr>
        <w:t xml:space="preserve"> Moreover absent a policy on overprovision it may be unclear just what evidence a local authority relied on when deciding if a state of overprovision arose or what considerations it had regard to in deciding if</w:t>
      </w:r>
      <w:r w:rsidR="006E23DC">
        <w:rPr>
          <w:rFonts w:ascii="Palatino Linotype" w:hAnsi="Palatino Linotype"/>
          <w:sz w:val="24"/>
          <w:szCs w:val="24"/>
        </w:rPr>
        <w:t>,</w:t>
      </w:r>
      <w:r w:rsidRPr="00AB3E4B">
        <w:rPr>
          <w:rFonts w:ascii="Palatino Linotype" w:hAnsi="Palatino Linotype"/>
          <w:sz w:val="24"/>
          <w:szCs w:val="24"/>
        </w:rPr>
        <w:t xml:space="preserve"> in a given case</w:t>
      </w:r>
      <w:r w:rsidR="006E23DC">
        <w:rPr>
          <w:rFonts w:ascii="Palatino Linotype" w:hAnsi="Palatino Linotype"/>
          <w:sz w:val="24"/>
          <w:szCs w:val="24"/>
        </w:rPr>
        <w:t>,</w:t>
      </w:r>
      <w:r w:rsidRPr="00AB3E4B">
        <w:rPr>
          <w:rFonts w:ascii="Palatino Linotype" w:hAnsi="Palatino Linotype"/>
          <w:sz w:val="24"/>
          <w:szCs w:val="24"/>
        </w:rPr>
        <w:t xml:space="preserve"> there was overprovision</w:t>
      </w:r>
      <w:r w:rsidR="006E23DC">
        <w:rPr>
          <w:rFonts w:ascii="Palatino Linotype" w:hAnsi="Palatino Linotype"/>
          <w:sz w:val="24"/>
          <w:szCs w:val="24"/>
        </w:rPr>
        <w:t xml:space="preserve">, perhaps </w:t>
      </w:r>
      <w:r w:rsidRPr="00AB3E4B">
        <w:rPr>
          <w:rFonts w:ascii="Palatino Linotype" w:hAnsi="Palatino Linotype"/>
          <w:sz w:val="24"/>
          <w:szCs w:val="24"/>
        </w:rPr>
        <w:t xml:space="preserve">such </w:t>
      </w:r>
      <w:r w:rsidR="006E23DC">
        <w:rPr>
          <w:rFonts w:ascii="Palatino Linotype" w:hAnsi="Palatino Linotype"/>
          <w:sz w:val="24"/>
          <w:szCs w:val="24"/>
        </w:rPr>
        <w:t xml:space="preserve">as </w:t>
      </w:r>
      <w:r w:rsidR="00463CDC">
        <w:rPr>
          <w:rFonts w:ascii="Palatino Linotype" w:hAnsi="Palatino Linotype"/>
          <w:sz w:val="24"/>
          <w:szCs w:val="24"/>
        </w:rPr>
        <w:t xml:space="preserve">the </w:t>
      </w:r>
      <w:r w:rsidR="00463CDC" w:rsidRPr="00AB3E4B">
        <w:rPr>
          <w:rFonts w:ascii="Palatino Linotype" w:hAnsi="Palatino Linotype"/>
          <w:sz w:val="24"/>
          <w:szCs w:val="24"/>
        </w:rPr>
        <w:t>number</w:t>
      </w:r>
      <w:r w:rsidRPr="00AB3E4B">
        <w:rPr>
          <w:rFonts w:ascii="Palatino Linotype" w:hAnsi="Palatino Linotype"/>
          <w:sz w:val="24"/>
          <w:szCs w:val="24"/>
        </w:rPr>
        <w:t xml:space="preserve"> of similar facilities and demand. </w:t>
      </w:r>
    </w:p>
    <w:p w:rsidR="006E23DC" w:rsidRDefault="006E23DC" w:rsidP="00AB3E4B">
      <w:pPr>
        <w:spacing w:line="360" w:lineRule="auto"/>
        <w:jc w:val="both"/>
        <w:rPr>
          <w:rFonts w:ascii="Palatino Linotype" w:hAnsi="Palatino Linotype"/>
          <w:sz w:val="24"/>
          <w:szCs w:val="24"/>
        </w:rPr>
      </w:pPr>
    </w:p>
    <w:p w:rsidR="005A7CFC" w:rsidRPr="00AB3E4B" w:rsidRDefault="005A7CFC" w:rsidP="00AB3E4B">
      <w:pPr>
        <w:spacing w:line="360" w:lineRule="auto"/>
        <w:jc w:val="both"/>
        <w:rPr>
          <w:rFonts w:ascii="Palatino Linotype" w:hAnsi="Palatino Linotype"/>
          <w:sz w:val="24"/>
          <w:szCs w:val="24"/>
        </w:rPr>
      </w:pPr>
      <w:r w:rsidRPr="00AB3E4B">
        <w:rPr>
          <w:rFonts w:ascii="Palatino Linotype" w:hAnsi="Palatino Linotype"/>
          <w:sz w:val="24"/>
          <w:szCs w:val="24"/>
        </w:rPr>
        <w:lastRenderedPageBreak/>
        <w:t>In that regard the guidance under the 2005 Act notes that a statutory overprovision policy-</w:t>
      </w:r>
    </w:p>
    <w:p w:rsidR="005A7CFC" w:rsidRPr="00AB3E4B" w:rsidRDefault="005A7CFC" w:rsidP="00AB3E4B">
      <w:pPr>
        <w:spacing w:line="360" w:lineRule="auto"/>
        <w:jc w:val="both"/>
        <w:rPr>
          <w:rFonts w:ascii="Palatino Linotype" w:hAnsi="Palatino Linotype"/>
          <w:b/>
          <w:i/>
          <w:sz w:val="24"/>
          <w:szCs w:val="24"/>
        </w:rPr>
      </w:pPr>
      <w:r w:rsidRPr="00AB3E4B">
        <w:rPr>
          <w:rFonts w:ascii="Palatino Linotype" w:hAnsi="Palatino Linotype"/>
          <w:i/>
          <w:sz w:val="24"/>
          <w:szCs w:val="24"/>
        </w:rPr>
        <w:t>“34….</w:t>
      </w:r>
    </w:p>
    <w:p w:rsidR="005A7CFC" w:rsidRPr="00AB3E4B" w:rsidRDefault="005A7CFC" w:rsidP="00AB3E4B">
      <w:pPr>
        <w:spacing w:line="360" w:lineRule="auto"/>
        <w:jc w:val="both"/>
        <w:rPr>
          <w:rFonts w:ascii="Palatino Linotype" w:hAnsi="Palatino Linotype"/>
          <w:i/>
          <w:sz w:val="24"/>
          <w:szCs w:val="24"/>
        </w:rPr>
      </w:pPr>
      <w:r w:rsidRPr="00AB3E4B">
        <w:rPr>
          <w:rFonts w:ascii="Palatino Linotype" w:hAnsi="Palatino Linotype"/>
          <w:i/>
          <w:sz w:val="24"/>
          <w:szCs w:val="24"/>
        </w:rPr>
        <w:t>• allows Licensing Boards to take account of changing market trends, such as the development of so-called "hybrid" premises;</w:t>
      </w:r>
    </w:p>
    <w:p w:rsidR="005A7CFC" w:rsidRPr="00AB3E4B" w:rsidRDefault="005A7CFC" w:rsidP="00AB3E4B">
      <w:pPr>
        <w:spacing w:line="360" w:lineRule="auto"/>
        <w:jc w:val="both"/>
        <w:rPr>
          <w:rFonts w:ascii="Palatino Linotype" w:hAnsi="Palatino Linotype"/>
          <w:i/>
          <w:sz w:val="24"/>
          <w:szCs w:val="24"/>
        </w:rPr>
      </w:pPr>
      <w:r w:rsidRPr="00AB3E4B">
        <w:rPr>
          <w:rFonts w:ascii="Palatino Linotype" w:hAnsi="Palatino Linotype"/>
          <w:i/>
          <w:sz w:val="24"/>
          <w:szCs w:val="24"/>
        </w:rPr>
        <w:t>• provides potential entrants to the market with a clear signal that they may incur abortive costs if they intend to apply for a licence in a locality which the Licensing Board has declared to have reached overprovision;</w:t>
      </w:r>
    </w:p>
    <w:p w:rsidR="005A7CFC" w:rsidRPr="00AB3E4B" w:rsidRDefault="005A7CFC" w:rsidP="00AB3E4B">
      <w:pPr>
        <w:spacing w:line="360" w:lineRule="auto"/>
        <w:jc w:val="both"/>
        <w:rPr>
          <w:rFonts w:ascii="Palatino Linotype" w:hAnsi="Palatino Linotype"/>
          <w:i/>
          <w:sz w:val="24"/>
          <w:szCs w:val="24"/>
        </w:rPr>
      </w:pPr>
      <w:r w:rsidRPr="00AB3E4B">
        <w:rPr>
          <w:rFonts w:ascii="Palatino Linotype" w:hAnsi="Palatino Linotype"/>
          <w:i/>
          <w:sz w:val="24"/>
          <w:szCs w:val="24"/>
        </w:rPr>
        <w:t xml:space="preserve"> • improves public and licensed trade confidence in a system by setting out clearly the grounds on which overprovision should be determined.</w:t>
      </w:r>
    </w:p>
    <w:p w:rsidR="005A7CFC" w:rsidRPr="00AB3E4B" w:rsidRDefault="005A7CFC" w:rsidP="00AB3E4B">
      <w:pPr>
        <w:spacing w:line="360" w:lineRule="auto"/>
        <w:jc w:val="both"/>
        <w:rPr>
          <w:rFonts w:ascii="Palatino Linotype" w:hAnsi="Palatino Linotype"/>
          <w:b/>
          <w:i/>
          <w:sz w:val="24"/>
          <w:szCs w:val="24"/>
        </w:rPr>
      </w:pPr>
      <w:r w:rsidRPr="00AB3E4B">
        <w:rPr>
          <w:rFonts w:ascii="Palatino Linotype" w:hAnsi="Palatino Linotype"/>
          <w:i/>
          <w:sz w:val="24"/>
          <w:szCs w:val="24"/>
        </w:rPr>
        <w:t xml:space="preserve"> • recognises that halting the growth of licensed premises in localities is not intended to restrict trade but may be required to preserve public order, protect the amenity of local communities, and mitigate the adverse health effects of increased alcohol consumption resulting from growing outlet density.</w:t>
      </w:r>
    </w:p>
    <w:p w:rsidR="005A7CFC" w:rsidRPr="00AB3E4B" w:rsidRDefault="005A7CFC" w:rsidP="00AB3E4B">
      <w:pPr>
        <w:spacing w:line="360" w:lineRule="auto"/>
        <w:jc w:val="both"/>
        <w:rPr>
          <w:rFonts w:ascii="Palatino Linotype" w:hAnsi="Palatino Linotype"/>
          <w:b/>
          <w:i/>
          <w:sz w:val="24"/>
          <w:szCs w:val="24"/>
        </w:rPr>
      </w:pPr>
      <w:r w:rsidRPr="00AB3E4B">
        <w:rPr>
          <w:rFonts w:ascii="Palatino Linotype" w:hAnsi="Palatino Linotype"/>
          <w:i/>
          <w:sz w:val="24"/>
          <w:szCs w:val="24"/>
        </w:rPr>
        <w:t>50. The Licensing Board's policy should be expressed in such a way that interested parties are left in no doubt as to the reasons for its adoption, including the evidence upon which the Board relied and the material considerations which were taken into account.”</w:t>
      </w:r>
    </w:p>
    <w:p w:rsidR="005A7CFC" w:rsidRPr="00AB3E4B" w:rsidRDefault="005A7CFC" w:rsidP="00AB3E4B">
      <w:pPr>
        <w:spacing w:line="360" w:lineRule="auto"/>
        <w:jc w:val="both"/>
        <w:rPr>
          <w:rFonts w:ascii="Palatino Linotype" w:hAnsi="Palatino Linotype"/>
          <w:sz w:val="24"/>
          <w:szCs w:val="24"/>
        </w:rPr>
      </w:pPr>
      <w:r w:rsidRPr="00AB3E4B">
        <w:rPr>
          <w:rFonts w:ascii="Palatino Linotype" w:hAnsi="Palatino Linotype"/>
          <w:sz w:val="24"/>
          <w:szCs w:val="24"/>
        </w:rPr>
        <w:t>A system like Section 7 and related Guidance is lacking under paragraph 5(3</w:t>
      </w:r>
      <w:r w:rsidR="00AB3E4B" w:rsidRPr="00AB3E4B">
        <w:rPr>
          <w:rFonts w:ascii="Palatino Linotype" w:hAnsi="Palatino Linotype"/>
          <w:sz w:val="24"/>
          <w:szCs w:val="24"/>
        </w:rPr>
        <w:t>) (</w:t>
      </w:r>
      <w:r w:rsidRPr="00AB3E4B">
        <w:rPr>
          <w:rFonts w:ascii="Palatino Linotype" w:hAnsi="Palatino Linotype"/>
          <w:sz w:val="24"/>
          <w:szCs w:val="24"/>
        </w:rPr>
        <w:t>d).</w:t>
      </w:r>
    </w:p>
    <w:p w:rsidR="005E032F" w:rsidRPr="00AB3E4B" w:rsidRDefault="005E032F" w:rsidP="00AB3E4B">
      <w:pPr>
        <w:spacing w:line="360" w:lineRule="auto"/>
        <w:jc w:val="both"/>
        <w:rPr>
          <w:rFonts w:ascii="Palatino Linotype" w:hAnsi="Palatino Linotype"/>
          <w:sz w:val="24"/>
          <w:szCs w:val="24"/>
        </w:rPr>
      </w:pPr>
      <w:r w:rsidRPr="00AB3E4B">
        <w:rPr>
          <w:rFonts w:ascii="Palatino Linotype" w:hAnsi="Palatino Linotype"/>
          <w:sz w:val="24"/>
          <w:szCs w:val="24"/>
        </w:rPr>
        <w:t xml:space="preserve">As a counter to this it might be said that </w:t>
      </w:r>
      <w:r w:rsidR="005A7CFC" w:rsidRPr="00AB3E4B">
        <w:rPr>
          <w:rFonts w:ascii="Palatino Linotype" w:hAnsi="Palatino Linotype"/>
          <w:sz w:val="24"/>
          <w:szCs w:val="24"/>
        </w:rPr>
        <w:t>in the exercise of discretion a local authority could develop an overprovision policy to shape how it would approach overprovision as an issue under para</w:t>
      </w:r>
      <w:r w:rsidR="006E23DC">
        <w:rPr>
          <w:rFonts w:ascii="Palatino Linotype" w:hAnsi="Palatino Linotype"/>
          <w:sz w:val="24"/>
          <w:szCs w:val="24"/>
        </w:rPr>
        <w:t>.</w:t>
      </w:r>
      <w:r w:rsidR="005A7CFC" w:rsidRPr="00AB3E4B">
        <w:rPr>
          <w:rFonts w:ascii="Palatino Linotype" w:hAnsi="Palatino Linotype"/>
          <w:sz w:val="24"/>
          <w:szCs w:val="24"/>
        </w:rPr>
        <w:t>5(3</w:t>
      </w:r>
      <w:r w:rsidR="00AB3E4B" w:rsidRPr="00AB3E4B">
        <w:rPr>
          <w:rFonts w:ascii="Palatino Linotype" w:hAnsi="Palatino Linotype"/>
          <w:sz w:val="24"/>
          <w:szCs w:val="24"/>
        </w:rPr>
        <w:t>) (</w:t>
      </w:r>
      <w:r w:rsidR="005A7CFC" w:rsidRPr="00AB3E4B">
        <w:rPr>
          <w:rFonts w:ascii="Palatino Linotype" w:hAnsi="Palatino Linotype"/>
          <w:sz w:val="24"/>
          <w:szCs w:val="24"/>
        </w:rPr>
        <w:t>d)</w:t>
      </w:r>
      <w:r w:rsidRPr="00AB3E4B">
        <w:rPr>
          <w:rFonts w:ascii="Palatino Linotype" w:hAnsi="Palatino Linotype"/>
          <w:sz w:val="24"/>
          <w:szCs w:val="24"/>
        </w:rPr>
        <w:t>,</w:t>
      </w:r>
      <w:r w:rsidR="005A7CFC" w:rsidRPr="00AB3E4B">
        <w:rPr>
          <w:rFonts w:ascii="Palatino Linotype" w:hAnsi="Palatino Linotype"/>
          <w:sz w:val="24"/>
          <w:szCs w:val="24"/>
        </w:rPr>
        <w:t xml:space="preserve"> but is not</w:t>
      </w:r>
      <w:r w:rsidR="006E23DC">
        <w:rPr>
          <w:rFonts w:ascii="Palatino Linotype" w:hAnsi="Palatino Linotype"/>
          <w:sz w:val="24"/>
          <w:szCs w:val="24"/>
        </w:rPr>
        <w:t>,</w:t>
      </w:r>
      <w:r w:rsidR="005A7CFC" w:rsidRPr="00AB3E4B">
        <w:rPr>
          <w:rFonts w:ascii="Palatino Linotype" w:hAnsi="Palatino Linotype"/>
          <w:sz w:val="24"/>
          <w:szCs w:val="24"/>
        </w:rPr>
        <w:t xml:space="preserve"> as with a Licensing Board under the 2005 Act</w:t>
      </w:r>
      <w:r w:rsidR="006E23DC">
        <w:rPr>
          <w:rFonts w:ascii="Palatino Linotype" w:hAnsi="Palatino Linotype"/>
          <w:sz w:val="24"/>
          <w:szCs w:val="24"/>
        </w:rPr>
        <w:t>,</w:t>
      </w:r>
      <w:r w:rsidR="005A7CFC" w:rsidRPr="00AB3E4B">
        <w:rPr>
          <w:rFonts w:ascii="Palatino Linotype" w:hAnsi="Palatino Linotype"/>
          <w:sz w:val="24"/>
          <w:szCs w:val="24"/>
        </w:rPr>
        <w:t xml:space="preserve"> obliged to</w:t>
      </w:r>
      <w:r w:rsidRPr="00AB3E4B">
        <w:rPr>
          <w:rFonts w:ascii="Palatino Linotype" w:hAnsi="Palatino Linotype"/>
          <w:sz w:val="24"/>
          <w:szCs w:val="24"/>
        </w:rPr>
        <w:t xml:space="preserve"> do so</w:t>
      </w:r>
      <w:r w:rsidR="005A7CFC" w:rsidRPr="00AB3E4B">
        <w:rPr>
          <w:rFonts w:ascii="Palatino Linotype" w:hAnsi="Palatino Linotype"/>
          <w:sz w:val="24"/>
          <w:szCs w:val="24"/>
        </w:rPr>
        <w:t>.</w:t>
      </w:r>
    </w:p>
    <w:p w:rsidR="006E23DC" w:rsidRDefault="005E032F" w:rsidP="00AB3E4B">
      <w:pPr>
        <w:spacing w:line="360" w:lineRule="auto"/>
        <w:jc w:val="both"/>
        <w:rPr>
          <w:rFonts w:ascii="Palatino Linotype" w:hAnsi="Palatino Linotype"/>
          <w:sz w:val="24"/>
          <w:szCs w:val="24"/>
        </w:rPr>
      </w:pPr>
      <w:r w:rsidRPr="00AB3E4B">
        <w:rPr>
          <w:rFonts w:ascii="Palatino Linotype" w:hAnsi="Palatino Linotype"/>
          <w:sz w:val="24"/>
          <w:szCs w:val="24"/>
        </w:rPr>
        <w:t xml:space="preserve">It could for example, have a policy that in general where an STL is sought for let control area, if planning consent is secured then it will in general not refuse an application on overprovision grounds absent some exceptional feature or change in </w:t>
      </w:r>
      <w:r w:rsidRPr="00AB3E4B">
        <w:rPr>
          <w:rFonts w:ascii="Palatino Linotype" w:hAnsi="Palatino Linotype"/>
          <w:sz w:val="24"/>
          <w:szCs w:val="24"/>
        </w:rPr>
        <w:lastRenderedPageBreak/>
        <w:t xml:space="preserve">material circumstances in the locality. </w:t>
      </w:r>
      <w:r w:rsidR="005A7CFC" w:rsidRPr="00AB3E4B">
        <w:rPr>
          <w:rFonts w:ascii="Palatino Linotype" w:hAnsi="Palatino Linotype"/>
          <w:sz w:val="24"/>
          <w:szCs w:val="24"/>
        </w:rPr>
        <w:t xml:space="preserve">   </w:t>
      </w:r>
      <w:r w:rsidR="006E23DC">
        <w:rPr>
          <w:rFonts w:ascii="Palatino Linotype" w:hAnsi="Palatino Linotype"/>
          <w:sz w:val="24"/>
          <w:szCs w:val="24"/>
        </w:rPr>
        <w:t xml:space="preserve">This would give weight to the section 26B let control area system. </w:t>
      </w:r>
    </w:p>
    <w:p w:rsidR="005A7CFC" w:rsidRPr="00AB3E4B" w:rsidRDefault="006E23DC" w:rsidP="00AB3E4B">
      <w:pPr>
        <w:spacing w:line="360" w:lineRule="auto"/>
        <w:jc w:val="both"/>
        <w:rPr>
          <w:rFonts w:ascii="Palatino Linotype" w:hAnsi="Palatino Linotype"/>
          <w:sz w:val="24"/>
          <w:szCs w:val="24"/>
        </w:rPr>
      </w:pPr>
      <w:r>
        <w:rPr>
          <w:rFonts w:ascii="Palatino Linotype" w:hAnsi="Palatino Linotype"/>
          <w:sz w:val="24"/>
          <w:szCs w:val="24"/>
        </w:rPr>
        <w:t xml:space="preserve">Absent such a policy an applicant who was refused a licence would need to argue that in an individual case it was unreasonable of the licensing authority to refuse an application on overprovision grounds if section 26B consent had been secured. Such cases would be fact sensitive and given that in law there is scope for a different view to be taken on overprovision for licensing purposes whatever the planning position, there could be no guarantee that such an appeal would succeed.     </w:t>
      </w:r>
      <w:r w:rsidR="005A7CFC" w:rsidRPr="00AB3E4B">
        <w:rPr>
          <w:rFonts w:ascii="Palatino Linotype" w:hAnsi="Palatino Linotype"/>
          <w:sz w:val="24"/>
          <w:szCs w:val="24"/>
        </w:rPr>
        <w:t xml:space="preserve">     </w:t>
      </w:r>
    </w:p>
    <w:p w:rsidR="003127CA" w:rsidRPr="00AB3E4B" w:rsidRDefault="00CB5F07" w:rsidP="00AB3E4B">
      <w:pPr>
        <w:spacing w:line="360" w:lineRule="auto"/>
        <w:jc w:val="both"/>
        <w:rPr>
          <w:rFonts w:ascii="Palatino Linotype" w:hAnsi="Palatino Linotype"/>
          <w:b/>
          <w:sz w:val="24"/>
          <w:szCs w:val="24"/>
        </w:rPr>
      </w:pPr>
      <w:r w:rsidRPr="00AB3E4B">
        <w:rPr>
          <w:rFonts w:ascii="Palatino Linotype" w:hAnsi="Palatino Linotype"/>
          <w:b/>
          <w:sz w:val="24"/>
          <w:szCs w:val="24"/>
        </w:rPr>
        <w:t>Suitability Refusals</w:t>
      </w:r>
    </w:p>
    <w:p w:rsidR="00CB5F07" w:rsidRPr="00AB3E4B" w:rsidRDefault="005A7CFC" w:rsidP="00AB3E4B">
      <w:pPr>
        <w:spacing w:line="360" w:lineRule="auto"/>
        <w:jc w:val="both"/>
        <w:rPr>
          <w:rFonts w:ascii="Palatino Linotype" w:hAnsi="Palatino Linotype"/>
          <w:sz w:val="24"/>
          <w:szCs w:val="24"/>
        </w:rPr>
      </w:pPr>
      <w:r w:rsidRPr="00AB3E4B">
        <w:rPr>
          <w:rFonts w:ascii="Palatino Linotype" w:hAnsi="Palatino Linotype"/>
          <w:sz w:val="24"/>
          <w:szCs w:val="24"/>
        </w:rPr>
        <w:t xml:space="preserve">I want to mention something on this for clarity. </w:t>
      </w:r>
      <w:r w:rsidR="00CB5F07" w:rsidRPr="00AB3E4B">
        <w:rPr>
          <w:rFonts w:ascii="Palatino Linotype" w:hAnsi="Palatino Linotype"/>
          <w:sz w:val="24"/>
          <w:szCs w:val="24"/>
        </w:rPr>
        <w:t>Where the basis of refusal is suitability</w:t>
      </w:r>
      <w:r w:rsidR="006E23DC">
        <w:rPr>
          <w:rFonts w:ascii="Palatino Linotype" w:hAnsi="Palatino Linotype"/>
          <w:sz w:val="24"/>
          <w:szCs w:val="24"/>
        </w:rPr>
        <w:t>,</w:t>
      </w:r>
      <w:r w:rsidR="00CB5F07" w:rsidRPr="00AB3E4B">
        <w:rPr>
          <w:rFonts w:ascii="Palatino Linotype" w:hAnsi="Palatino Linotype"/>
          <w:sz w:val="24"/>
          <w:szCs w:val="24"/>
        </w:rPr>
        <w:t xml:space="preserve"> other considerations might arise where planning has approved a premises as suitable in planning terms, it can be difficult albeit not impossible, for a licensing authority to then go onto refuse a licence based on suitability.   </w:t>
      </w:r>
      <w:r w:rsidR="001A5ACB" w:rsidRPr="00AB3E4B">
        <w:rPr>
          <w:rFonts w:ascii="Palatino Linotype" w:hAnsi="Palatino Linotype"/>
          <w:sz w:val="24"/>
          <w:szCs w:val="24"/>
        </w:rPr>
        <w:t>This might suggest it is not in general desirable for there to be two regimes looking at suitability.</w:t>
      </w:r>
    </w:p>
    <w:p w:rsidR="00CB5F07" w:rsidRPr="00AB3E4B" w:rsidRDefault="00701F4C" w:rsidP="00AB3E4B">
      <w:pPr>
        <w:pStyle w:val="ListBullet"/>
        <w:numPr>
          <w:ilvl w:val="0"/>
          <w:numId w:val="0"/>
        </w:numPr>
        <w:tabs>
          <w:tab w:val="left" w:pos="0"/>
        </w:tabs>
        <w:spacing w:line="360" w:lineRule="auto"/>
        <w:jc w:val="both"/>
        <w:rPr>
          <w:rFonts w:ascii="Palatino Linotype" w:hAnsi="Palatino Linotype"/>
          <w:sz w:val="24"/>
          <w:szCs w:val="24"/>
        </w:rPr>
      </w:pPr>
      <w:r w:rsidRPr="00AB3E4B">
        <w:rPr>
          <w:rFonts w:ascii="Palatino Linotype" w:hAnsi="Palatino Linotype"/>
          <w:sz w:val="24"/>
          <w:szCs w:val="24"/>
        </w:rPr>
        <w:t>So for example w</w:t>
      </w:r>
      <w:r w:rsidR="00D7156C" w:rsidRPr="00AB3E4B">
        <w:rPr>
          <w:rFonts w:ascii="Palatino Linotype" w:hAnsi="Palatino Linotype"/>
          <w:sz w:val="24"/>
          <w:szCs w:val="24"/>
        </w:rPr>
        <w:t xml:space="preserve">here </w:t>
      </w:r>
      <w:r w:rsidRPr="00AB3E4B">
        <w:rPr>
          <w:rFonts w:ascii="Palatino Linotype" w:hAnsi="Palatino Linotype"/>
          <w:sz w:val="24"/>
          <w:szCs w:val="24"/>
        </w:rPr>
        <w:t xml:space="preserve">a </w:t>
      </w:r>
      <w:r w:rsidR="00D7156C" w:rsidRPr="00AB3E4B">
        <w:rPr>
          <w:rFonts w:ascii="Palatino Linotype" w:hAnsi="Palatino Linotype"/>
          <w:sz w:val="24"/>
          <w:szCs w:val="24"/>
        </w:rPr>
        <w:t>Council</w:t>
      </w:r>
      <w:r w:rsidRPr="00AB3E4B">
        <w:rPr>
          <w:rFonts w:ascii="Palatino Linotype" w:hAnsi="Palatino Linotype"/>
          <w:sz w:val="24"/>
          <w:szCs w:val="24"/>
        </w:rPr>
        <w:t xml:space="preserve"> decides </w:t>
      </w:r>
      <w:r w:rsidR="00D7156C" w:rsidRPr="00AB3E4B">
        <w:rPr>
          <w:rFonts w:ascii="Palatino Linotype" w:hAnsi="Palatino Linotype"/>
          <w:sz w:val="24"/>
          <w:szCs w:val="24"/>
        </w:rPr>
        <w:t xml:space="preserve">that premises are suitable </w:t>
      </w:r>
      <w:r w:rsidR="005303F5">
        <w:rPr>
          <w:rFonts w:ascii="Palatino Linotype" w:hAnsi="Palatino Linotype"/>
          <w:sz w:val="24"/>
          <w:szCs w:val="24"/>
        </w:rPr>
        <w:t xml:space="preserve">in planning terms for a use, </w:t>
      </w:r>
      <w:r w:rsidR="00AB3E4B" w:rsidRPr="00AB3E4B">
        <w:rPr>
          <w:rFonts w:ascii="Palatino Linotype" w:hAnsi="Palatino Linotype"/>
          <w:sz w:val="24"/>
          <w:szCs w:val="24"/>
        </w:rPr>
        <w:t>a</w:t>
      </w:r>
      <w:r w:rsidRPr="00AB3E4B">
        <w:rPr>
          <w:rFonts w:ascii="Palatino Linotype" w:hAnsi="Palatino Linotype"/>
          <w:sz w:val="24"/>
          <w:szCs w:val="24"/>
        </w:rPr>
        <w:t xml:space="preserve"> </w:t>
      </w:r>
      <w:r w:rsidR="00AB3E4B" w:rsidRPr="00AB3E4B">
        <w:rPr>
          <w:rFonts w:ascii="Palatino Linotype" w:hAnsi="Palatino Linotype"/>
          <w:sz w:val="24"/>
          <w:szCs w:val="24"/>
        </w:rPr>
        <w:t>licensing</w:t>
      </w:r>
      <w:r w:rsidR="005303F5">
        <w:rPr>
          <w:rFonts w:ascii="Palatino Linotype" w:hAnsi="Palatino Linotype"/>
          <w:sz w:val="24"/>
          <w:szCs w:val="24"/>
        </w:rPr>
        <w:t xml:space="preserve"> authority </w:t>
      </w:r>
      <w:r w:rsidRPr="00AB3E4B">
        <w:rPr>
          <w:rFonts w:ascii="Palatino Linotype" w:hAnsi="Palatino Linotype"/>
          <w:sz w:val="24"/>
          <w:szCs w:val="24"/>
        </w:rPr>
        <w:t xml:space="preserve">is not bound by that. </w:t>
      </w:r>
      <w:r w:rsidR="00D7156C" w:rsidRPr="00AB3E4B">
        <w:rPr>
          <w:rFonts w:ascii="Palatino Linotype" w:hAnsi="Palatino Linotype"/>
          <w:sz w:val="24"/>
          <w:szCs w:val="24"/>
        </w:rPr>
        <w:t xml:space="preserve">These are two different regimes and approval for one purpose, while no doubt a material consideration in terms of suitability for a related purpose is not conclusive-see </w:t>
      </w:r>
      <w:r w:rsidR="00D7156C" w:rsidRPr="00AB3E4B">
        <w:rPr>
          <w:rFonts w:ascii="Palatino Linotype" w:hAnsi="Palatino Linotype"/>
          <w:i/>
          <w:sz w:val="24"/>
          <w:szCs w:val="24"/>
        </w:rPr>
        <w:t>JE Sheeran (Amusement Arcades) Ltd v Hamilton DC</w:t>
      </w:r>
      <w:r w:rsidR="00D7156C" w:rsidRPr="00AB3E4B">
        <w:rPr>
          <w:rFonts w:ascii="Palatino Linotype" w:hAnsi="Palatino Linotype"/>
          <w:sz w:val="24"/>
          <w:szCs w:val="24"/>
        </w:rPr>
        <w:t xml:space="preserve"> 1986 SLT 289 (Council not bound by allowance of planning consent by Secretary of State), but where a different view is to be taken there would need to be   a proper basis for that-</w:t>
      </w:r>
      <w:r w:rsidR="00D7156C" w:rsidRPr="00AB3E4B">
        <w:rPr>
          <w:rFonts w:ascii="Palatino Linotype" w:hAnsi="Palatino Linotype"/>
          <w:i/>
          <w:sz w:val="24"/>
          <w:szCs w:val="24"/>
        </w:rPr>
        <w:t>Leisure Inns (UK) Ltd v  Perth and Kinross District Licensing Board,</w:t>
      </w:r>
      <w:r w:rsidR="00D7156C" w:rsidRPr="00AB3E4B">
        <w:rPr>
          <w:rFonts w:ascii="Palatino Linotype" w:hAnsi="Palatino Linotype"/>
          <w:sz w:val="24"/>
          <w:szCs w:val="24"/>
        </w:rPr>
        <w:t xml:space="preserve"> 1993 SLT 796.  </w:t>
      </w:r>
      <w:r w:rsidR="00CB5F07" w:rsidRPr="00AB3E4B">
        <w:rPr>
          <w:rFonts w:ascii="Palatino Linotype" w:hAnsi="Palatino Linotype"/>
          <w:sz w:val="24"/>
          <w:szCs w:val="24"/>
        </w:rPr>
        <w:t xml:space="preserve">Accordingly there can exist two different systems addressing suitability and while the licensing authority should be slow to depart from a planning assessment of suitability, it can, if there is material to </w:t>
      </w:r>
      <w:r w:rsidR="005303F5" w:rsidRPr="00AB3E4B">
        <w:rPr>
          <w:rFonts w:ascii="Palatino Linotype" w:hAnsi="Palatino Linotype"/>
          <w:sz w:val="24"/>
          <w:szCs w:val="24"/>
        </w:rPr>
        <w:t>support a</w:t>
      </w:r>
      <w:r w:rsidR="00CB5F07" w:rsidRPr="00AB3E4B">
        <w:rPr>
          <w:rFonts w:ascii="Palatino Linotype" w:hAnsi="Palatino Linotype"/>
          <w:sz w:val="24"/>
          <w:szCs w:val="24"/>
        </w:rPr>
        <w:t xml:space="preserve"> reasoned difference in view, do so.   </w:t>
      </w:r>
    </w:p>
    <w:p w:rsidR="00CB5F07" w:rsidRPr="00AB3E4B" w:rsidRDefault="00CB5F07" w:rsidP="00AB3E4B">
      <w:pPr>
        <w:pStyle w:val="ListBullet"/>
        <w:numPr>
          <w:ilvl w:val="0"/>
          <w:numId w:val="0"/>
        </w:numPr>
        <w:tabs>
          <w:tab w:val="left" w:pos="0"/>
        </w:tabs>
        <w:spacing w:line="360" w:lineRule="auto"/>
        <w:jc w:val="both"/>
        <w:rPr>
          <w:rFonts w:ascii="Palatino Linotype" w:hAnsi="Palatino Linotype"/>
          <w:sz w:val="24"/>
          <w:szCs w:val="24"/>
        </w:rPr>
      </w:pPr>
    </w:p>
    <w:p w:rsidR="00701F4C" w:rsidRPr="00AB3E4B" w:rsidRDefault="00701F4C" w:rsidP="00AB3E4B">
      <w:pPr>
        <w:pStyle w:val="ListBullet"/>
        <w:numPr>
          <w:ilvl w:val="0"/>
          <w:numId w:val="0"/>
        </w:numPr>
        <w:spacing w:line="360" w:lineRule="auto"/>
        <w:jc w:val="both"/>
        <w:rPr>
          <w:rFonts w:ascii="Palatino Linotype" w:hAnsi="Palatino Linotype"/>
          <w:sz w:val="24"/>
          <w:szCs w:val="24"/>
        </w:rPr>
      </w:pPr>
      <w:r w:rsidRPr="00AB3E4B">
        <w:rPr>
          <w:rFonts w:ascii="Palatino Linotype" w:hAnsi="Palatino Linotype"/>
          <w:sz w:val="24"/>
          <w:szCs w:val="24"/>
        </w:rPr>
        <w:lastRenderedPageBreak/>
        <w:t xml:space="preserve">In making this point there will be areas where there is a degree of crossover between the role of the </w:t>
      </w:r>
      <w:r w:rsidR="005303F5" w:rsidRPr="00AB3E4B">
        <w:rPr>
          <w:rFonts w:ascii="Palatino Linotype" w:hAnsi="Palatino Linotype"/>
          <w:sz w:val="24"/>
          <w:szCs w:val="24"/>
        </w:rPr>
        <w:t>Council</w:t>
      </w:r>
      <w:r w:rsidR="005303F5">
        <w:rPr>
          <w:rFonts w:ascii="Palatino Linotype" w:hAnsi="Palatino Linotype"/>
          <w:sz w:val="24"/>
          <w:szCs w:val="24"/>
        </w:rPr>
        <w:t xml:space="preserve"> </w:t>
      </w:r>
      <w:r w:rsidR="005303F5" w:rsidRPr="00AB3E4B">
        <w:rPr>
          <w:rFonts w:ascii="Palatino Linotype" w:hAnsi="Palatino Linotype"/>
          <w:sz w:val="24"/>
          <w:szCs w:val="24"/>
        </w:rPr>
        <w:t>as authority</w:t>
      </w:r>
      <w:r w:rsidRPr="00AB3E4B">
        <w:rPr>
          <w:rFonts w:ascii="Palatino Linotype" w:hAnsi="Palatino Linotype"/>
          <w:sz w:val="24"/>
          <w:szCs w:val="24"/>
        </w:rPr>
        <w:t xml:space="preserve"> and the Council or Scottish Ministers planning authority. The courts do recognise shades of grey and questions of degree here. The most cautious approach would be to recognise that there may be areas already regulated by the “other regime” and not to tread on that. </w:t>
      </w:r>
    </w:p>
    <w:p w:rsidR="00701F4C" w:rsidRPr="00AB3E4B" w:rsidRDefault="00701F4C" w:rsidP="00AB3E4B">
      <w:pPr>
        <w:pStyle w:val="ListBullet"/>
        <w:numPr>
          <w:ilvl w:val="0"/>
          <w:numId w:val="0"/>
        </w:numPr>
        <w:spacing w:line="360" w:lineRule="auto"/>
        <w:jc w:val="both"/>
        <w:rPr>
          <w:rFonts w:ascii="Palatino Linotype" w:hAnsi="Palatino Linotype"/>
          <w:sz w:val="24"/>
          <w:szCs w:val="24"/>
        </w:rPr>
      </w:pPr>
    </w:p>
    <w:p w:rsidR="00701F4C" w:rsidRPr="00AB3E4B" w:rsidRDefault="00701F4C" w:rsidP="00AB3E4B">
      <w:pPr>
        <w:pStyle w:val="ListBullet"/>
        <w:numPr>
          <w:ilvl w:val="0"/>
          <w:numId w:val="0"/>
        </w:numPr>
        <w:spacing w:line="360" w:lineRule="auto"/>
        <w:jc w:val="both"/>
        <w:rPr>
          <w:rFonts w:ascii="Palatino Linotype" w:hAnsi="Palatino Linotype"/>
          <w:sz w:val="24"/>
          <w:szCs w:val="24"/>
        </w:rPr>
      </w:pPr>
      <w:r w:rsidRPr="00AB3E4B">
        <w:rPr>
          <w:rFonts w:ascii="Palatino Linotype" w:hAnsi="Palatino Linotype"/>
          <w:sz w:val="24"/>
          <w:szCs w:val="24"/>
        </w:rPr>
        <w:t xml:space="preserve">Where there is a degree of cross-over if the matter is properly for the other regime, then that is left to the other regime. Where there is an element which can be regarded as falling within the STL regime then the Council </w:t>
      </w:r>
      <w:r w:rsidR="005303F5" w:rsidRPr="00AB3E4B">
        <w:rPr>
          <w:rFonts w:ascii="Palatino Linotype" w:hAnsi="Palatino Linotype"/>
          <w:sz w:val="24"/>
          <w:szCs w:val="24"/>
        </w:rPr>
        <w:t>can consider</w:t>
      </w:r>
      <w:r w:rsidRPr="00AB3E4B">
        <w:rPr>
          <w:rFonts w:ascii="Palatino Linotype" w:hAnsi="Palatino Linotype"/>
          <w:sz w:val="24"/>
          <w:szCs w:val="24"/>
        </w:rPr>
        <w:t xml:space="preserve"> it provided that it only has regard to </w:t>
      </w:r>
      <w:r w:rsidR="00CB5F07" w:rsidRPr="00AB3E4B">
        <w:rPr>
          <w:rFonts w:ascii="Palatino Linotype" w:hAnsi="Palatino Linotype"/>
          <w:sz w:val="24"/>
          <w:szCs w:val="24"/>
        </w:rPr>
        <w:t xml:space="preserve">STL </w:t>
      </w:r>
      <w:r w:rsidRPr="00AB3E4B">
        <w:rPr>
          <w:rFonts w:ascii="Palatino Linotype" w:hAnsi="Palatino Linotype"/>
          <w:sz w:val="24"/>
          <w:szCs w:val="24"/>
        </w:rPr>
        <w:t xml:space="preserve">considerations in so doing and it is not an indirect route to </w:t>
      </w:r>
      <w:r w:rsidR="005303F5" w:rsidRPr="00AB3E4B">
        <w:rPr>
          <w:rFonts w:ascii="Palatino Linotype" w:hAnsi="Palatino Linotype"/>
          <w:sz w:val="24"/>
          <w:szCs w:val="24"/>
        </w:rPr>
        <w:t>e.g.</w:t>
      </w:r>
      <w:r w:rsidRPr="00AB3E4B">
        <w:rPr>
          <w:rFonts w:ascii="Palatino Linotype" w:hAnsi="Palatino Linotype"/>
          <w:sz w:val="24"/>
          <w:szCs w:val="24"/>
        </w:rPr>
        <w:t xml:space="preserve"> planning control by another route (</w:t>
      </w:r>
      <w:r w:rsidRPr="00AB3E4B">
        <w:rPr>
          <w:rFonts w:ascii="Palatino Linotype" w:hAnsi="Palatino Linotype"/>
          <w:i/>
          <w:sz w:val="24"/>
          <w:szCs w:val="24"/>
        </w:rPr>
        <w:t xml:space="preserve">Di Ciacca v Scottish </w:t>
      </w:r>
      <w:r w:rsidR="005303F5" w:rsidRPr="00AB3E4B">
        <w:rPr>
          <w:rFonts w:ascii="Palatino Linotype" w:hAnsi="Palatino Linotype"/>
          <w:i/>
          <w:sz w:val="24"/>
          <w:szCs w:val="24"/>
        </w:rPr>
        <w:t>Ministers</w:t>
      </w:r>
      <w:r w:rsidR="005303F5" w:rsidRPr="00AB3E4B">
        <w:rPr>
          <w:rFonts w:ascii="Palatino Linotype" w:hAnsi="Palatino Linotype"/>
          <w:sz w:val="24"/>
          <w:szCs w:val="24"/>
        </w:rPr>
        <w:t>,</w:t>
      </w:r>
      <w:r w:rsidRPr="00AB3E4B">
        <w:rPr>
          <w:rFonts w:ascii="Palatino Linotype" w:hAnsi="Palatino Linotype"/>
          <w:sz w:val="24"/>
          <w:szCs w:val="24"/>
        </w:rPr>
        <w:t xml:space="preserve"> 2003 </w:t>
      </w:r>
      <w:r w:rsidR="005303F5" w:rsidRPr="00AB3E4B">
        <w:rPr>
          <w:rFonts w:ascii="Palatino Linotype" w:hAnsi="Palatino Linotype"/>
          <w:sz w:val="24"/>
          <w:szCs w:val="24"/>
        </w:rPr>
        <w:t>SLT 1031</w:t>
      </w:r>
      <w:r w:rsidRPr="00AB3E4B">
        <w:rPr>
          <w:rFonts w:ascii="Palatino Linotype" w:hAnsi="Palatino Linotype"/>
          <w:sz w:val="24"/>
          <w:szCs w:val="24"/>
        </w:rPr>
        <w:t>).</w:t>
      </w:r>
      <w:r w:rsidR="005A7CFC" w:rsidRPr="00AB3E4B">
        <w:rPr>
          <w:rFonts w:ascii="Palatino Linotype" w:hAnsi="Palatino Linotype"/>
          <w:sz w:val="24"/>
          <w:szCs w:val="24"/>
        </w:rPr>
        <w:t xml:space="preserve"> </w:t>
      </w:r>
      <w:r w:rsidR="006E23DC">
        <w:rPr>
          <w:rFonts w:ascii="Palatino Linotype" w:hAnsi="Palatino Linotype"/>
          <w:sz w:val="24"/>
          <w:szCs w:val="24"/>
        </w:rPr>
        <w:t xml:space="preserve"> So for example p</w:t>
      </w:r>
      <w:r w:rsidR="005A7CFC" w:rsidRPr="00AB3E4B">
        <w:rPr>
          <w:rFonts w:ascii="Palatino Linotype" w:hAnsi="Palatino Linotype"/>
          <w:sz w:val="24"/>
          <w:szCs w:val="24"/>
        </w:rPr>
        <w:t xml:space="preserve">lanning in the context of a STL let control area would already be dealt with via the system in section 26B of the Town and Country Planning (Scotland) Act 1997 and Regulations under section </w:t>
      </w:r>
      <w:r w:rsidR="005303F5" w:rsidRPr="00AB3E4B">
        <w:rPr>
          <w:rFonts w:ascii="Palatino Linotype" w:hAnsi="Palatino Linotype"/>
          <w:sz w:val="24"/>
          <w:szCs w:val="24"/>
        </w:rPr>
        <w:t>26B (</w:t>
      </w:r>
      <w:r w:rsidR="005A7CFC" w:rsidRPr="00AB3E4B">
        <w:rPr>
          <w:rFonts w:ascii="Palatino Linotype" w:hAnsi="Palatino Linotype"/>
          <w:sz w:val="24"/>
          <w:szCs w:val="24"/>
        </w:rPr>
        <w:t>6) of the same.</w:t>
      </w:r>
    </w:p>
    <w:p w:rsidR="005A7CFC" w:rsidRPr="00AB3E4B" w:rsidRDefault="005A7CFC" w:rsidP="00AB3E4B">
      <w:pPr>
        <w:pStyle w:val="ListBullet"/>
        <w:numPr>
          <w:ilvl w:val="0"/>
          <w:numId w:val="0"/>
        </w:numPr>
        <w:tabs>
          <w:tab w:val="left" w:pos="0"/>
        </w:tabs>
        <w:spacing w:line="360" w:lineRule="auto"/>
        <w:jc w:val="both"/>
        <w:rPr>
          <w:rFonts w:ascii="Palatino Linotype" w:hAnsi="Palatino Linotype"/>
          <w:sz w:val="24"/>
          <w:szCs w:val="24"/>
        </w:rPr>
      </w:pPr>
    </w:p>
    <w:p w:rsidR="00463CDC" w:rsidRDefault="005A7CFC" w:rsidP="00AB3E4B">
      <w:pPr>
        <w:pStyle w:val="ListBullet"/>
        <w:numPr>
          <w:ilvl w:val="0"/>
          <w:numId w:val="0"/>
        </w:numPr>
        <w:tabs>
          <w:tab w:val="left" w:pos="0"/>
        </w:tabs>
        <w:spacing w:line="360" w:lineRule="auto"/>
        <w:jc w:val="both"/>
        <w:rPr>
          <w:rFonts w:ascii="Palatino Linotype" w:hAnsi="Palatino Linotype"/>
          <w:sz w:val="24"/>
          <w:szCs w:val="24"/>
        </w:rPr>
      </w:pPr>
      <w:r w:rsidRPr="00AB3E4B">
        <w:rPr>
          <w:rFonts w:ascii="Palatino Linotype" w:hAnsi="Palatino Linotype"/>
          <w:sz w:val="24"/>
          <w:szCs w:val="24"/>
        </w:rPr>
        <w:t>I would stress though that s</w:t>
      </w:r>
      <w:r w:rsidR="00CB5F07" w:rsidRPr="00AB3E4B">
        <w:rPr>
          <w:rFonts w:ascii="Palatino Linotype" w:hAnsi="Palatino Linotype"/>
          <w:sz w:val="24"/>
          <w:szCs w:val="24"/>
        </w:rPr>
        <w:t xml:space="preserve">uitability is </w:t>
      </w:r>
      <w:r w:rsidR="00CB5F07" w:rsidRPr="00AB3E4B">
        <w:rPr>
          <w:rFonts w:ascii="Palatino Linotype" w:hAnsi="Palatino Linotype"/>
          <w:b/>
          <w:i/>
          <w:sz w:val="24"/>
          <w:szCs w:val="24"/>
        </w:rPr>
        <w:t xml:space="preserve">not </w:t>
      </w:r>
      <w:r w:rsidR="00AC606B" w:rsidRPr="00AB3E4B">
        <w:rPr>
          <w:rFonts w:ascii="Palatino Linotype" w:hAnsi="Palatino Linotype"/>
          <w:b/>
          <w:sz w:val="24"/>
          <w:szCs w:val="24"/>
        </w:rPr>
        <w:t>the same as</w:t>
      </w:r>
      <w:r w:rsidR="00AC606B" w:rsidRPr="00AB3E4B">
        <w:rPr>
          <w:rFonts w:ascii="Palatino Linotype" w:hAnsi="Palatino Linotype"/>
          <w:b/>
          <w:i/>
          <w:sz w:val="24"/>
          <w:szCs w:val="24"/>
        </w:rPr>
        <w:t xml:space="preserve"> </w:t>
      </w:r>
      <w:r w:rsidR="00CB5F07" w:rsidRPr="00AB3E4B">
        <w:rPr>
          <w:rFonts w:ascii="Palatino Linotype" w:hAnsi="Palatino Linotype"/>
          <w:sz w:val="24"/>
          <w:szCs w:val="24"/>
        </w:rPr>
        <w:t xml:space="preserve">overprovision. Premises may be suitable but still lead to overprovision. </w:t>
      </w:r>
      <w:r w:rsidRPr="00AB3E4B">
        <w:rPr>
          <w:rFonts w:ascii="Palatino Linotype" w:hAnsi="Palatino Linotype"/>
          <w:sz w:val="24"/>
          <w:szCs w:val="24"/>
        </w:rPr>
        <w:t xml:space="preserve"> Of course it may be argued that where the planning authority has issued planning consent for an STL it did so against the application being in a let control area and accordingly any discretion on the part of the licensing authority to refuse on</w:t>
      </w:r>
      <w:r w:rsidR="005E032F" w:rsidRPr="00AB3E4B">
        <w:rPr>
          <w:rFonts w:ascii="Palatino Linotype" w:hAnsi="Palatino Linotype"/>
          <w:sz w:val="24"/>
          <w:szCs w:val="24"/>
        </w:rPr>
        <w:t xml:space="preserve"> suitability grounds is </w:t>
      </w:r>
      <w:r w:rsidR="00463CDC">
        <w:rPr>
          <w:rFonts w:ascii="Palatino Linotype" w:hAnsi="Palatino Linotype"/>
          <w:sz w:val="24"/>
          <w:szCs w:val="24"/>
        </w:rPr>
        <w:t xml:space="preserve">a </w:t>
      </w:r>
      <w:r w:rsidR="005E032F" w:rsidRPr="00AB3E4B">
        <w:rPr>
          <w:rFonts w:ascii="Palatino Linotype" w:hAnsi="Palatino Linotype"/>
          <w:sz w:val="24"/>
          <w:szCs w:val="24"/>
        </w:rPr>
        <w:t>narrow</w:t>
      </w:r>
      <w:r w:rsidR="00463CDC">
        <w:rPr>
          <w:rFonts w:ascii="Palatino Linotype" w:hAnsi="Palatino Linotype"/>
          <w:sz w:val="24"/>
          <w:szCs w:val="24"/>
        </w:rPr>
        <w:t xml:space="preserve"> one</w:t>
      </w:r>
      <w:r w:rsidR="005E032F" w:rsidRPr="00AB3E4B">
        <w:rPr>
          <w:rFonts w:ascii="Palatino Linotype" w:hAnsi="Palatino Linotype"/>
          <w:sz w:val="24"/>
          <w:szCs w:val="24"/>
        </w:rPr>
        <w:t xml:space="preserve">. </w:t>
      </w:r>
    </w:p>
    <w:p w:rsidR="00463CDC" w:rsidRDefault="00463CDC" w:rsidP="00AB3E4B">
      <w:pPr>
        <w:pStyle w:val="ListBullet"/>
        <w:numPr>
          <w:ilvl w:val="0"/>
          <w:numId w:val="0"/>
        </w:numPr>
        <w:tabs>
          <w:tab w:val="left" w:pos="0"/>
        </w:tabs>
        <w:spacing w:line="360" w:lineRule="auto"/>
        <w:jc w:val="both"/>
        <w:rPr>
          <w:rFonts w:ascii="Palatino Linotype" w:hAnsi="Palatino Linotype"/>
          <w:sz w:val="24"/>
          <w:szCs w:val="24"/>
        </w:rPr>
      </w:pPr>
    </w:p>
    <w:p w:rsidR="00CB5F07" w:rsidRPr="00AB3E4B" w:rsidRDefault="005E032F" w:rsidP="00AB3E4B">
      <w:pPr>
        <w:pStyle w:val="ListBullet"/>
        <w:numPr>
          <w:ilvl w:val="0"/>
          <w:numId w:val="0"/>
        </w:numPr>
        <w:tabs>
          <w:tab w:val="left" w:pos="0"/>
        </w:tabs>
        <w:spacing w:line="360" w:lineRule="auto"/>
        <w:jc w:val="both"/>
        <w:rPr>
          <w:rFonts w:ascii="Palatino Linotype" w:hAnsi="Palatino Linotype"/>
          <w:sz w:val="24"/>
          <w:szCs w:val="24"/>
        </w:rPr>
      </w:pPr>
      <w:r w:rsidRPr="00AB3E4B">
        <w:rPr>
          <w:rFonts w:ascii="Palatino Linotype" w:hAnsi="Palatino Linotype"/>
          <w:sz w:val="24"/>
          <w:szCs w:val="24"/>
        </w:rPr>
        <w:t>By the same logic given the nature of a let control area it might be argued that the same approach should be taken to an overprovision refusal</w:t>
      </w:r>
      <w:r w:rsidR="00463CDC">
        <w:rPr>
          <w:rFonts w:ascii="Palatino Linotype" w:hAnsi="Palatino Linotype"/>
          <w:sz w:val="24"/>
          <w:szCs w:val="24"/>
        </w:rPr>
        <w:t xml:space="preserve"> as many of the same issues (if often not all) might be bound up with planning</w:t>
      </w:r>
      <w:r w:rsidRPr="00AB3E4B">
        <w:rPr>
          <w:rFonts w:ascii="Palatino Linotype" w:hAnsi="Palatino Linotype"/>
          <w:sz w:val="24"/>
          <w:szCs w:val="24"/>
        </w:rPr>
        <w:t xml:space="preserve">. </w:t>
      </w:r>
    </w:p>
    <w:p w:rsidR="00D7156C" w:rsidRPr="00AB3E4B" w:rsidRDefault="005303F5" w:rsidP="00AB3E4B">
      <w:pPr>
        <w:spacing w:line="360" w:lineRule="auto"/>
        <w:jc w:val="both"/>
        <w:rPr>
          <w:rFonts w:ascii="Palatino Linotype" w:hAnsi="Palatino Linotype"/>
          <w:b/>
          <w:sz w:val="24"/>
          <w:szCs w:val="24"/>
        </w:rPr>
      </w:pPr>
      <w:r w:rsidRPr="00AB3E4B">
        <w:rPr>
          <w:rFonts w:ascii="Palatino Linotype" w:hAnsi="Palatino Linotype"/>
          <w:b/>
          <w:sz w:val="24"/>
          <w:szCs w:val="24"/>
        </w:rPr>
        <w:t xml:space="preserve">Judicial </w:t>
      </w:r>
      <w:r>
        <w:rPr>
          <w:rFonts w:ascii="Palatino Linotype" w:hAnsi="Palatino Linotype"/>
          <w:b/>
          <w:sz w:val="24"/>
          <w:szCs w:val="24"/>
        </w:rPr>
        <w:t>Review</w:t>
      </w:r>
      <w:r w:rsidR="000F056B" w:rsidRPr="00AB3E4B">
        <w:rPr>
          <w:rFonts w:ascii="Palatino Linotype" w:hAnsi="Palatino Linotype"/>
          <w:b/>
          <w:sz w:val="24"/>
          <w:szCs w:val="24"/>
        </w:rPr>
        <w:t xml:space="preserve">  </w:t>
      </w:r>
      <w:r w:rsidR="00F1194B" w:rsidRPr="00AB3E4B">
        <w:rPr>
          <w:rFonts w:ascii="Palatino Linotype" w:hAnsi="Palatino Linotype"/>
          <w:b/>
          <w:sz w:val="24"/>
          <w:szCs w:val="24"/>
        </w:rPr>
        <w:t xml:space="preserve"> </w:t>
      </w:r>
      <w:r w:rsidR="000F056B" w:rsidRPr="00AB3E4B">
        <w:rPr>
          <w:rFonts w:ascii="Palatino Linotype" w:hAnsi="Palatino Linotype"/>
          <w:b/>
          <w:sz w:val="24"/>
          <w:szCs w:val="24"/>
        </w:rPr>
        <w:t>of the SSI?</w:t>
      </w:r>
    </w:p>
    <w:p w:rsidR="00CD3C51" w:rsidRPr="00AB3E4B" w:rsidRDefault="00CD3C51" w:rsidP="00AB3E4B">
      <w:pPr>
        <w:spacing w:line="360" w:lineRule="auto"/>
        <w:jc w:val="both"/>
        <w:rPr>
          <w:rFonts w:ascii="Palatino Linotype" w:hAnsi="Palatino Linotype"/>
          <w:sz w:val="24"/>
          <w:szCs w:val="24"/>
        </w:rPr>
      </w:pPr>
      <w:r w:rsidRPr="00AB3E4B">
        <w:rPr>
          <w:rFonts w:ascii="Palatino Linotype" w:hAnsi="Palatino Linotype"/>
          <w:sz w:val="24"/>
          <w:szCs w:val="24"/>
        </w:rPr>
        <w:t xml:space="preserve">Looking at the three accepted grounds of judicial review-irrational exercise of power, illegality/ </w:t>
      </w:r>
      <w:r w:rsidRPr="00463CDC">
        <w:rPr>
          <w:rFonts w:ascii="Palatino Linotype" w:hAnsi="Palatino Linotype"/>
          <w:i/>
          <w:sz w:val="24"/>
          <w:szCs w:val="24"/>
        </w:rPr>
        <w:t>ultra vires</w:t>
      </w:r>
      <w:r w:rsidRPr="00AB3E4B">
        <w:rPr>
          <w:rFonts w:ascii="Palatino Linotype" w:hAnsi="Palatino Linotype"/>
          <w:sz w:val="24"/>
          <w:szCs w:val="24"/>
        </w:rPr>
        <w:t xml:space="preserve"> and procedural error, my views are as follows.</w:t>
      </w:r>
    </w:p>
    <w:p w:rsidR="00463CDC" w:rsidRDefault="005E032F" w:rsidP="00AB3E4B">
      <w:pPr>
        <w:spacing w:line="360" w:lineRule="auto"/>
        <w:jc w:val="both"/>
        <w:rPr>
          <w:rFonts w:ascii="Palatino Linotype" w:hAnsi="Palatino Linotype"/>
          <w:sz w:val="24"/>
          <w:szCs w:val="24"/>
        </w:rPr>
      </w:pPr>
      <w:r w:rsidRPr="00AB3E4B">
        <w:rPr>
          <w:rFonts w:ascii="Palatino Linotype" w:hAnsi="Palatino Linotype"/>
          <w:sz w:val="24"/>
          <w:szCs w:val="24"/>
        </w:rPr>
        <w:lastRenderedPageBreak/>
        <w:t>As for an</w:t>
      </w:r>
      <w:r w:rsidR="005303F5">
        <w:rPr>
          <w:rFonts w:ascii="Palatino Linotype" w:hAnsi="Palatino Linotype"/>
          <w:sz w:val="24"/>
          <w:szCs w:val="24"/>
        </w:rPr>
        <w:t>y</w:t>
      </w:r>
      <w:r w:rsidRPr="00AB3E4B">
        <w:rPr>
          <w:rFonts w:ascii="Palatino Linotype" w:hAnsi="Palatino Linotype"/>
          <w:sz w:val="24"/>
          <w:szCs w:val="24"/>
        </w:rPr>
        <w:t xml:space="preserve"> illegality challenge</w:t>
      </w:r>
      <w:r w:rsidRPr="00AB3E4B">
        <w:rPr>
          <w:rFonts w:ascii="Palatino Linotype" w:hAnsi="Palatino Linotype"/>
          <w:sz w:val="24"/>
          <w:szCs w:val="24"/>
        </w:rPr>
        <w:t xml:space="preserve"> or</w:t>
      </w:r>
      <w:r w:rsidR="005303F5">
        <w:rPr>
          <w:rFonts w:ascii="Palatino Linotype" w:hAnsi="Palatino Linotype"/>
          <w:sz w:val="24"/>
          <w:szCs w:val="24"/>
        </w:rPr>
        <w:t xml:space="preserve"> </w:t>
      </w:r>
      <w:r w:rsidR="005303F5" w:rsidRPr="005303F5">
        <w:rPr>
          <w:rFonts w:ascii="Palatino Linotype" w:hAnsi="Palatino Linotype"/>
          <w:i/>
          <w:sz w:val="24"/>
          <w:szCs w:val="24"/>
        </w:rPr>
        <w:t>ultra</w:t>
      </w:r>
      <w:r w:rsidRPr="005303F5">
        <w:rPr>
          <w:rFonts w:ascii="Palatino Linotype" w:hAnsi="Palatino Linotype"/>
          <w:i/>
          <w:sz w:val="24"/>
          <w:szCs w:val="24"/>
        </w:rPr>
        <w:t xml:space="preserve"> vire</w:t>
      </w:r>
      <w:r w:rsidRPr="00AB3E4B">
        <w:rPr>
          <w:rFonts w:ascii="Palatino Linotype" w:hAnsi="Palatino Linotype"/>
          <w:sz w:val="24"/>
          <w:szCs w:val="24"/>
        </w:rPr>
        <w:t>s</w:t>
      </w:r>
      <w:r w:rsidRPr="00AB3E4B">
        <w:rPr>
          <w:rFonts w:ascii="Palatino Linotype" w:hAnsi="Palatino Linotype"/>
          <w:sz w:val="24"/>
          <w:szCs w:val="24"/>
        </w:rPr>
        <w:t>, given that para. 5(3</w:t>
      </w:r>
      <w:r w:rsidR="005303F5" w:rsidRPr="00AB3E4B">
        <w:rPr>
          <w:rFonts w:ascii="Palatino Linotype" w:hAnsi="Palatino Linotype"/>
          <w:sz w:val="24"/>
          <w:szCs w:val="24"/>
        </w:rPr>
        <w:t>) (</w:t>
      </w:r>
      <w:r w:rsidRPr="00AB3E4B">
        <w:rPr>
          <w:rFonts w:ascii="Palatino Linotype" w:hAnsi="Palatino Linotype"/>
          <w:sz w:val="24"/>
          <w:szCs w:val="24"/>
        </w:rPr>
        <w:t xml:space="preserve">d) </w:t>
      </w:r>
      <w:r w:rsidR="00463CDC">
        <w:rPr>
          <w:rFonts w:ascii="Palatino Linotype" w:hAnsi="Palatino Linotype"/>
          <w:sz w:val="24"/>
          <w:szCs w:val="24"/>
        </w:rPr>
        <w:t xml:space="preserve">is </w:t>
      </w:r>
      <w:bookmarkStart w:id="0" w:name="_GoBack"/>
      <w:bookmarkEnd w:id="0"/>
      <w:r w:rsidRPr="00AB3E4B">
        <w:rPr>
          <w:rFonts w:ascii="Palatino Linotype" w:hAnsi="Palatino Linotype"/>
          <w:sz w:val="24"/>
          <w:szCs w:val="24"/>
        </w:rPr>
        <w:t>wide enough to cover “any other good reason” and that can include considerations of overprovision</w:t>
      </w:r>
      <w:r w:rsidRPr="00AB3E4B">
        <w:rPr>
          <w:rFonts w:ascii="Palatino Linotype" w:hAnsi="Palatino Linotype"/>
          <w:sz w:val="24"/>
          <w:szCs w:val="24"/>
        </w:rPr>
        <w:t>,</w:t>
      </w:r>
      <w:r w:rsidRPr="00AB3E4B">
        <w:rPr>
          <w:rFonts w:ascii="Palatino Linotype" w:hAnsi="Palatino Linotype"/>
          <w:sz w:val="24"/>
          <w:szCs w:val="24"/>
        </w:rPr>
        <w:t xml:space="preserve"> I do not see any prospect of a successful challenge on that basis. </w:t>
      </w:r>
    </w:p>
    <w:p w:rsidR="005E032F" w:rsidRPr="00AB3E4B" w:rsidRDefault="005E032F" w:rsidP="00AB3E4B">
      <w:pPr>
        <w:spacing w:line="360" w:lineRule="auto"/>
        <w:jc w:val="both"/>
        <w:rPr>
          <w:rFonts w:ascii="Palatino Linotype" w:hAnsi="Palatino Linotype"/>
          <w:sz w:val="24"/>
          <w:szCs w:val="24"/>
        </w:rPr>
      </w:pPr>
      <w:r w:rsidRPr="00AB3E4B">
        <w:rPr>
          <w:rFonts w:ascii="Palatino Linotype" w:hAnsi="Palatino Linotype"/>
          <w:sz w:val="24"/>
          <w:szCs w:val="24"/>
        </w:rPr>
        <w:t>Put short the 1982 Act as the primary legislation as interpreted by the Courts to date is wide enough to include under para. 5(3</w:t>
      </w:r>
      <w:r w:rsidR="005303F5" w:rsidRPr="00AB3E4B">
        <w:rPr>
          <w:rFonts w:ascii="Palatino Linotype" w:hAnsi="Palatino Linotype"/>
          <w:sz w:val="24"/>
          <w:szCs w:val="24"/>
        </w:rPr>
        <w:t>)(</w:t>
      </w:r>
      <w:r w:rsidRPr="00AB3E4B">
        <w:rPr>
          <w:rFonts w:ascii="Palatino Linotype" w:hAnsi="Palatino Linotype"/>
          <w:sz w:val="24"/>
          <w:szCs w:val="24"/>
        </w:rPr>
        <w:t>d</w:t>
      </w:r>
      <w:r w:rsidR="005303F5">
        <w:rPr>
          <w:rFonts w:ascii="Palatino Linotype" w:hAnsi="Palatino Linotype"/>
          <w:sz w:val="24"/>
          <w:szCs w:val="24"/>
        </w:rPr>
        <w:t>),</w:t>
      </w:r>
      <w:r w:rsidRPr="00AB3E4B">
        <w:rPr>
          <w:rFonts w:ascii="Palatino Linotype" w:hAnsi="Palatino Linotype"/>
          <w:sz w:val="24"/>
          <w:szCs w:val="24"/>
        </w:rPr>
        <w:t xml:space="preserve"> such a test. As such it would be impossible to argue </w:t>
      </w:r>
      <w:r w:rsidR="005303F5" w:rsidRPr="00AB3E4B">
        <w:rPr>
          <w:rFonts w:ascii="Palatino Linotype" w:hAnsi="Palatino Linotype"/>
          <w:sz w:val="24"/>
          <w:szCs w:val="24"/>
        </w:rPr>
        <w:t>that overprovision</w:t>
      </w:r>
      <w:r w:rsidRPr="00AB3E4B">
        <w:rPr>
          <w:rFonts w:ascii="Palatino Linotype" w:hAnsi="Palatino Linotype"/>
          <w:sz w:val="24"/>
          <w:szCs w:val="24"/>
        </w:rPr>
        <w:t xml:space="preserve"> is </w:t>
      </w:r>
      <w:r w:rsidRPr="00AB3E4B">
        <w:rPr>
          <w:rFonts w:ascii="Palatino Linotype" w:hAnsi="Palatino Linotype"/>
          <w:i/>
          <w:sz w:val="24"/>
          <w:szCs w:val="24"/>
        </w:rPr>
        <w:t>ultra vires</w:t>
      </w:r>
      <w:r w:rsidRPr="00AB3E4B">
        <w:rPr>
          <w:rFonts w:ascii="Palatino Linotype" w:hAnsi="Palatino Linotype"/>
          <w:sz w:val="24"/>
          <w:szCs w:val="24"/>
        </w:rPr>
        <w:t xml:space="preserve"> the scope of the 1982 Act and as such any SSI made under that Act.</w:t>
      </w:r>
    </w:p>
    <w:p w:rsidR="00463CDC" w:rsidRDefault="000F056B" w:rsidP="00AB3E4B">
      <w:pPr>
        <w:spacing w:line="360" w:lineRule="auto"/>
        <w:jc w:val="both"/>
        <w:rPr>
          <w:rFonts w:ascii="Palatino Linotype" w:hAnsi="Palatino Linotype"/>
          <w:sz w:val="24"/>
          <w:szCs w:val="24"/>
        </w:rPr>
      </w:pPr>
      <w:r w:rsidRPr="00AB3E4B">
        <w:rPr>
          <w:rFonts w:ascii="Palatino Linotype" w:hAnsi="Palatino Linotype"/>
          <w:sz w:val="24"/>
          <w:szCs w:val="24"/>
        </w:rPr>
        <w:t xml:space="preserve">A JR of an SSI is particularly difficult given the width of discretion afforded to the legislature in approving such an instrument. </w:t>
      </w:r>
      <w:r w:rsidR="00463CDC">
        <w:rPr>
          <w:rFonts w:ascii="Palatino Linotype" w:hAnsi="Palatino Linotype"/>
          <w:sz w:val="24"/>
          <w:szCs w:val="24"/>
        </w:rPr>
        <w:t xml:space="preserve"> For that reason c</w:t>
      </w:r>
      <w:r w:rsidRPr="00AB3E4B">
        <w:rPr>
          <w:rFonts w:ascii="Palatino Linotype" w:hAnsi="Palatino Linotype"/>
          <w:sz w:val="24"/>
          <w:szCs w:val="24"/>
        </w:rPr>
        <w:t>hallenges based on irrationality (which could include arguments that it was irrational</w:t>
      </w:r>
      <w:r w:rsidR="00463CDC">
        <w:rPr>
          <w:rFonts w:ascii="Palatino Linotype" w:hAnsi="Palatino Linotype"/>
          <w:sz w:val="24"/>
          <w:szCs w:val="24"/>
        </w:rPr>
        <w:t>, as a policy choice,</w:t>
      </w:r>
      <w:r w:rsidRPr="00AB3E4B">
        <w:rPr>
          <w:rFonts w:ascii="Palatino Linotype" w:hAnsi="Palatino Linotype"/>
          <w:sz w:val="24"/>
          <w:szCs w:val="24"/>
        </w:rPr>
        <w:t xml:space="preserve"> to include overprovision as an implied basis for refusal), </w:t>
      </w:r>
      <w:r w:rsidR="00463CDC">
        <w:rPr>
          <w:rFonts w:ascii="Palatino Linotype" w:hAnsi="Palatino Linotype"/>
          <w:sz w:val="24"/>
          <w:szCs w:val="24"/>
        </w:rPr>
        <w:t xml:space="preserve">would be </w:t>
      </w:r>
      <w:r w:rsidRPr="00AB3E4B">
        <w:rPr>
          <w:rFonts w:ascii="Palatino Linotype" w:hAnsi="Palatino Linotype"/>
          <w:sz w:val="24"/>
          <w:szCs w:val="24"/>
        </w:rPr>
        <w:t xml:space="preserve">very hard to make out. </w:t>
      </w:r>
    </w:p>
    <w:p w:rsidR="00CD3C51" w:rsidRPr="00AB3E4B" w:rsidRDefault="000F056B" w:rsidP="00AB3E4B">
      <w:pPr>
        <w:spacing w:line="360" w:lineRule="auto"/>
        <w:jc w:val="both"/>
        <w:rPr>
          <w:rFonts w:ascii="Palatino Linotype" w:hAnsi="Palatino Linotype"/>
          <w:sz w:val="24"/>
          <w:szCs w:val="24"/>
        </w:rPr>
      </w:pPr>
      <w:r w:rsidRPr="00AB3E4B">
        <w:rPr>
          <w:rFonts w:ascii="Palatino Linotype" w:hAnsi="Palatino Linotype"/>
          <w:sz w:val="24"/>
          <w:szCs w:val="24"/>
        </w:rPr>
        <w:t xml:space="preserve">The intensity of review is particularly low in a rationality challenge in this context. Where delegated legislation has been approved by Parliament that in itself probably raises a presumption of reasonableness ( </w:t>
      </w:r>
      <w:r w:rsidR="00CD3C51" w:rsidRPr="00AB3E4B">
        <w:rPr>
          <w:rFonts w:ascii="Palatino Linotype" w:hAnsi="Palatino Linotype"/>
          <w:i/>
          <w:sz w:val="24"/>
          <w:szCs w:val="24"/>
        </w:rPr>
        <w:t>Rae v Hamilton</w:t>
      </w:r>
      <w:r w:rsidR="00CD3C51" w:rsidRPr="00AB3E4B">
        <w:rPr>
          <w:rFonts w:ascii="Palatino Linotype" w:hAnsi="Palatino Linotype"/>
          <w:sz w:val="24"/>
          <w:szCs w:val="24"/>
        </w:rPr>
        <w:t xml:space="preserve"> (1904) 6 F (J) 42) and in this context would probably require that it be shown that the provision was “manifestly absurd</w:t>
      </w:r>
      <w:r w:rsidR="005303F5" w:rsidRPr="00AB3E4B">
        <w:rPr>
          <w:rFonts w:ascii="Palatino Linotype" w:hAnsi="Palatino Linotype"/>
          <w:sz w:val="24"/>
          <w:szCs w:val="24"/>
        </w:rPr>
        <w:t>” and</w:t>
      </w:r>
      <w:r w:rsidR="00CD3C51" w:rsidRPr="00AB3E4B">
        <w:rPr>
          <w:rFonts w:ascii="Palatino Linotype" w:hAnsi="Palatino Linotype"/>
          <w:sz w:val="24"/>
          <w:szCs w:val="24"/>
        </w:rPr>
        <w:t xml:space="preserve"> that would only arise in “extreme and extraordinary circumstances” </w:t>
      </w:r>
      <w:r w:rsidR="005303F5" w:rsidRPr="00AB3E4B">
        <w:rPr>
          <w:rFonts w:ascii="Palatino Linotype" w:hAnsi="Palatino Linotype"/>
          <w:sz w:val="24"/>
          <w:szCs w:val="24"/>
        </w:rPr>
        <w:t>(see</w:t>
      </w:r>
      <w:r w:rsidR="00CD3C51" w:rsidRPr="00AB3E4B">
        <w:rPr>
          <w:rFonts w:ascii="Palatino Linotype" w:hAnsi="Palatino Linotype"/>
          <w:sz w:val="24"/>
          <w:szCs w:val="24"/>
        </w:rPr>
        <w:t xml:space="preserve"> </w:t>
      </w:r>
      <w:r w:rsidR="00CD3C51" w:rsidRPr="00AB3E4B">
        <w:rPr>
          <w:rFonts w:ascii="Palatino Linotype" w:hAnsi="Palatino Linotype"/>
          <w:i/>
          <w:sz w:val="24"/>
          <w:szCs w:val="24"/>
        </w:rPr>
        <w:t>Clyde and Edwards, Judicial Review</w:t>
      </w:r>
      <w:r w:rsidR="00CD3C51" w:rsidRPr="00AB3E4B">
        <w:rPr>
          <w:rFonts w:ascii="Palatino Linotype" w:hAnsi="Palatino Linotype"/>
          <w:sz w:val="24"/>
          <w:szCs w:val="24"/>
        </w:rPr>
        <w:t xml:space="preserve">, para. 21.17 and </w:t>
      </w:r>
      <w:r w:rsidR="005E032F" w:rsidRPr="00AB3E4B">
        <w:rPr>
          <w:rFonts w:ascii="Palatino Linotype" w:hAnsi="Palatino Linotype"/>
          <w:sz w:val="24"/>
          <w:szCs w:val="24"/>
        </w:rPr>
        <w:t>c</w:t>
      </w:r>
      <w:r w:rsidR="00CD3C51" w:rsidRPr="00AB3E4B">
        <w:rPr>
          <w:rFonts w:ascii="Palatino Linotype" w:hAnsi="Palatino Linotype"/>
          <w:sz w:val="24"/>
          <w:szCs w:val="24"/>
        </w:rPr>
        <w:t xml:space="preserve">aselaw cited therein).    </w:t>
      </w:r>
      <w:r w:rsidRPr="00AB3E4B">
        <w:rPr>
          <w:rFonts w:ascii="Palatino Linotype" w:hAnsi="Palatino Linotype"/>
          <w:sz w:val="24"/>
          <w:szCs w:val="24"/>
        </w:rPr>
        <w:t xml:space="preserve"> </w:t>
      </w:r>
    </w:p>
    <w:p w:rsidR="00463CDC" w:rsidRDefault="00CD3C51" w:rsidP="00AB3E4B">
      <w:pPr>
        <w:spacing w:line="360" w:lineRule="auto"/>
        <w:jc w:val="both"/>
        <w:rPr>
          <w:rFonts w:ascii="Palatino Linotype" w:hAnsi="Palatino Linotype"/>
          <w:sz w:val="24"/>
          <w:szCs w:val="24"/>
        </w:rPr>
      </w:pPr>
      <w:r w:rsidRPr="00AB3E4B">
        <w:rPr>
          <w:rFonts w:ascii="Palatino Linotype" w:hAnsi="Palatino Linotype"/>
          <w:sz w:val="24"/>
          <w:szCs w:val="24"/>
        </w:rPr>
        <w:t xml:space="preserve">Although there may be policy arguments to be made that overprovision be carved out from the SSI as a basis for refusal given the “other good reason” caselaw  and the policy arguments as to why that test should not be applied, it does seem to me that it would be very hard indeed to run an irrationality challenge. </w:t>
      </w:r>
    </w:p>
    <w:p w:rsidR="005E032F" w:rsidRPr="00AB3E4B" w:rsidRDefault="00CD3C51" w:rsidP="00AB3E4B">
      <w:pPr>
        <w:spacing w:line="360" w:lineRule="auto"/>
        <w:jc w:val="both"/>
        <w:rPr>
          <w:rFonts w:ascii="Palatino Linotype" w:hAnsi="Palatino Linotype"/>
          <w:sz w:val="24"/>
          <w:szCs w:val="24"/>
        </w:rPr>
      </w:pPr>
      <w:r w:rsidRPr="00AB3E4B">
        <w:rPr>
          <w:rFonts w:ascii="Palatino Linotype" w:hAnsi="Palatino Linotype"/>
          <w:sz w:val="24"/>
          <w:szCs w:val="24"/>
        </w:rPr>
        <w:t xml:space="preserve">I doubt very much if the circumstances could be seen as extreme or exceptional.  </w:t>
      </w:r>
      <w:r w:rsidR="000F056B" w:rsidRPr="00AB3E4B">
        <w:rPr>
          <w:rFonts w:ascii="Palatino Linotype" w:hAnsi="Palatino Linotype"/>
          <w:sz w:val="24"/>
          <w:szCs w:val="24"/>
        </w:rPr>
        <w:t xml:space="preserve"> </w:t>
      </w:r>
    </w:p>
    <w:p w:rsidR="000F056B" w:rsidRPr="00AB3E4B" w:rsidRDefault="005E032F" w:rsidP="00AB3E4B">
      <w:pPr>
        <w:spacing w:line="360" w:lineRule="auto"/>
        <w:jc w:val="both"/>
        <w:rPr>
          <w:rFonts w:ascii="Palatino Linotype" w:hAnsi="Palatino Linotype"/>
          <w:sz w:val="24"/>
          <w:szCs w:val="24"/>
        </w:rPr>
      </w:pPr>
      <w:r w:rsidRPr="00AB3E4B">
        <w:rPr>
          <w:rFonts w:ascii="Palatino Linotype" w:hAnsi="Palatino Linotype"/>
          <w:sz w:val="24"/>
          <w:szCs w:val="24"/>
        </w:rPr>
        <w:t xml:space="preserve">There is probably still </w:t>
      </w:r>
      <w:r w:rsidR="00463CDC">
        <w:rPr>
          <w:rFonts w:ascii="Palatino Linotype" w:hAnsi="Palatino Linotype"/>
          <w:sz w:val="24"/>
          <w:szCs w:val="24"/>
        </w:rPr>
        <w:t xml:space="preserve">(just) </w:t>
      </w:r>
      <w:r w:rsidRPr="00AB3E4B">
        <w:rPr>
          <w:rFonts w:ascii="Palatino Linotype" w:hAnsi="Palatino Linotype"/>
          <w:sz w:val="24"/>
          <w:szCs w:val="24"/>
        </w:rPr>
        <w:t xml:space="preserve">a sufficient “judgment gap” between planning </w:t>
      </w:r>
      <w:r w:rsidR="005303F5" w:rsidRPr="00AB3E4B">
        <w:rPr>
          <w:rFonts w:ascii="Palatino Linotype" w:hAnsi="Palatino Linotype"/>
          <w:sz w:val="24"/>
          <w:szCs w:val="24"/>
        </w:rPr>
        <w:t>consent under</w:t>
      </w:r>
      <w:r w:rsidRPr="00AB3E4B">
        <w:rPr>
          <w:rFonts w:ascii="Palatino Linotype" w:hAnsi="Palatino Linotype"/>
          <w:sz w:val="24"/>
          <w:szCs w:val="24"/>
        </w:rPr>
        <w:t xml:space="preserve"> section 26B and overprovision under para. 5(3</w:t>
      </w:r>
      <w:r w:rsidR="005303F5" w:rsidRPr="00AB3E4B">
        <w:rPr>
          <w:rFonts w:ascii="Palatino Linotype" w:hAnsi="Palatino Linotype"/>
          <w:sz w:val="24"/>
          <w:szCs w:val="24"/>
        </w:rPr>
        <w:t>) (</w:t>
      </w:r>
      <w:r w:rsidRPr="00AB3E4B">
        <w:rPr>
          <w:rFonts w:ascii="Palatino Linotype" w:hAnsi="Palatino Linotype"/>
          <w:sz w:val="24"/>
          <w:szCs w:val="24"/>
        </w:rPr>
        <w:t xml:space="preserve">d). While the gap may often be a very narrow one and while there may be arguments that planning assessments </w:t>
      </w:r>
      <w:r w:rsidRPr="00AB3E4B">
        <w:rPr>
          <w:rFonts w:ascii="Palatino Linotype" w:hAnsi="Palatino Linotype"/>
          <w:sz w:val="24"/>
          <w:szCs w:val="24"/>
        </w:rPr>
        <w:lastRenderedPageBreak/>
        <w:t>under section 26B should preclude overprovision as an issue under para. 5(3</w:t>
      </w:r>
      <w:r w:rsidR="005303F5" w:rsidRPr="00AB3E4B">
        <w:rPr>
          <w:rFonts w:ascii="Palatino Linotype" w:hAnsi="Palatino Linotype"/>
          <w:sz w:val="24"/>
          <w:szCs w:val="24"/>
        </w:rPr>
        <w:t>) (</w:t>
      </w:r>
      <w:r w:rsidRPr="00AB3E4B">
        <w:rPr>
          <w:rFonts w:ascii="Palatino Linotype" w:hAnsi="Palatino Linotype"/>
          <w:sz w:val="24"/>
          <w:szCs w:val="24"/>
        </w:rPr>
        <w:t xml:space="preserve">d), that is a policy choice and it is not the only one open to Scottish Government. </w:t>
      </w:r>
    </w:p>
    <w:p w:rsidR="005E032F" w:rsidRPr="00AB3E4B" w:rsidRDefault="005E032F" w:rsidP="00AB3E4B">
      <w:pPr>
        <w:spacing w:line="360" w:lineRule="auto"/>
        <w:jc w:val="both"/>
        <w:rPr>
          <w:rFonts w:ascii="Palatino Linotype" w:hAnsi="Palatino Linotype"/>
          <w:sz w:val="24"/>
          <w:szCs w:val="24"/>
        </w:rPr>
      </w:pPr>
      <w:r w:rsidRPr="00AB3E4B">
        <w:rPr>
          <w:rFonts w:ascii="Palatino Linotype" w:hAnsi="Palatino Linotype"/>
          <w:sz w:val="24"/>
          <w:szCs w:val="24"/>
        </w:rPr>
        <w:t>As for procedural impropriety, I do not see a basis. While no doubt to date matters have not been handled as well as they might have by Scottish Government, I do not see any breach of prescribed procedure or natural justice at common law to hang an argument on.</w:t>
      </w:r>
    </w:p>
    <w:p w:rsidR="005E032F" w:rsidRPr="00AB3E4B" w:rsidRDefault="005E032F" w:rsidP="00AB3E4B">
      <w:pPr>
        <w:spacing w:line="360" w:lineRule="auto"/>
        <w:jc w:val="both"/>
        <w:rPr>
          <w:rFonts w:ascii="Palatino Linotype" w:hAnsi="Palatino Linotype"/>
          <w:b/>
          <w:sz w:val="24"/>
          <w:szCs w:val="24"/>
        </w:rPr>
      </w:pPr>
      <w:r w:rsidRPr="00AB3E4B">
        <w:rPr>
          <w:rFonts w:ascii="Palatino Linotype" w:hAnsi="Palatino Linotype"/>
          <w:b/>
          <w:sz w:val="24"/>
          <w:szCs w:val="24"/>
        </w:rPr>
        <w:t>Final</w:t>
      </w:r>
    </w:p>
    <w:p w:rsidR="005E032F" w:rsidRPr="00AB3E4B" w:rsidRDefault="005E032F" w:rsidP="00AB3E4B">
      <w:pPr>
        <w:spacing w:line="360" w:lineRule="auto"/>
        <w:jc w:val="both"/>
        <w:rPr>
          <w:rFonts w:ascii="Palatino Linotype" w:hAnsi="Palatino Linotype"/>
          <w:sz w:val="24"/>
          <w:szCs w:val="24"/>
        </w:rPr>
      </w:pPr>
      <w:r w:rsidRPr="00AB3E4B">
        <w:rPr>
          <w:rFonts w:ascii="Palatino Linotype" w:hAnsi="Palatino Linotype"/>
          <w:sz w:val="24"/>
          <w:szCs w:val="24"/>
        </w:rPr>
        <w:t>In summary</w:t>
      </w:r>
      <w:r w:rsidR="00463CDC">
        <w:rPr>
          <w:rFonts w:ascii="Palatino Linotype" w:hAnsi="Palatino Linotype"/>
          <w:sz w:val="24"/>
          <w:szCs w:val="24"/>
        </w:rPr>
        <w:t>,</w:t>
      </w:r>
      <w:r w:rsidRPr="00AB3E4B">
        <w:rPr>
          <w:rFonts w:ascii="Palatino Linotype" w:hAnsi="Palatino Linotype"/>
          <w:sz w:val="24"/>
          <w:szCs w:val="24"/>
        </w:rPr>
        <w:t xml:space="preserve"> it seems to me that as overprovision could </w:t>
      </w:r>
      <w:r w:rsidR="00463CDC">
        <w:rPr>
          <w:rFonts w:ascii="Palatino Linotype" w:hAnsi="Palatino Linotype"/>
          <w:sz w:val="24"/>
          <w:szCs w:val="24"/>
        </w:rPr>
        <w:t>“</w:t>
      </w:r>
      <w:r w:rsidRPr="00AB3E4B">
        <w:rPr>
          <w:rFonts w:ascii="Palatino Linotype" w:hAnsi="Palatino Linotype"/>
          <w:sz w:val="24"/>
          <w:szCs w:val="24"/>
        </w:rPr>
        <w:t>sneak back in</w:t>
      </w:r>
      <w:r w:rsidR="00463CDC">
        <w:rPr>
          <w:rFonts w:ascii="Palatino Linotype" w:hAnsi="Palatino Linotype"/>
          <w:sz w:val="24"/>
          <w:szCs w:val="24"/>
        </w:rPr>
        <w:t>”</w:t>
      </w:r>
      <w:r w:rsidRPr="00AB3E4B">
        <w:rPr>
          <w:rFonts w:ascii="Palatino Linotype" w:hAnsi="Palatino Linotype"/>
          <w:sz w:val="24"/>
          <w:szCs w:val="24"/>
        </w:rPr>
        <w:t xml:space="preserve"> via para. 5(3)(d) and there appears to have been a wish to exclude that at an earlier stage, the remedy would appear to be one of having the SSI changed to reflect the view that for the purposes of STL licensing, overprovision is not a basis for refusal under para. 5(3</w:t>
      </w:r>
      <w:r w:rsidR="00AB3E4B" w:rsidRPr="00AB3E4B">
        <w:rPr>
          <w:rFonts w:ascii="Palatino Linotype" w:hAnsi="Palatino Linotype"/>
          <w:sz w:val="24"/>
          <w:szCs w:val="24"/>
        </w:rPr>
        <w:t>) (</w:t>
      </w:r>
      <w:r w:rsidRPr="00AB3E4B">
        <w:rPr>
          <w:rFonts w:ascii="Palatino Linotype" w:hAnsi="Palatino Linotype"/>
          <w:sz w:val="24"/>
          <w:szCs w:val="24"/>
        </w:rPr>
        <w:t xml:space="preserve">d) </w:t>
      </w:r>
      <w:r w:rsidR="00AB3E4B" w:rsidRPr="00AB3E4B">
        <w:rPr>
          <w:rFonts w:ascii="Palatino Linotype" w:hAnsi="Palatino Linotype"/>
          <w:sz w:val="24"/>
          <w:szCs w:val="24"/>
        </w:rPr>
        <w:t xml:space="preserve">(save </w:t>
      </w:r>
      <w:r w:rsidR="00463CDC">
        <w:rPr>
          <w:rFonts w:ascii="Palatino Linotype" w:hAnsi="Palatino Linotype"/>
          <w:sz w:val="24"/>
          <w:szCs w:val="24"/>
        </w:rPr>
        <w:t xml:space="preserve">perhaps </w:t>
      </w:r>
      <w:r w:rsidR="00AB3E4B" w:rsidRPr="00AB3E4B">
        <w:rPr>
          <w:rFonts w:ascii="Palatino Linotype" w:hAnsi="Palatino Linotype"/>
          <w:sz w:val="24"/>
          <w:szCs w:val="24"/>
        </w:rPr>
        <w:t>if it comes to it</w:t>
      </w:r>
      <w:r w:rsidR="00463CDC">
        <w:rPr>
          <w:rFonts w:ascii="Palatino Linotype" w:hAnsi="Palatino Linotype"/>
          <w:sz w:val="24"/>
          <w:szCs w:val="24"/>
        </w:rPr>
        <w:t>,</w:t>
      </w:r>
      <w:r w:rsidR="00AB3E4B" w:rsidRPr="00AB3E4B">
        <w:rPr>
          <w:rFonts w:ascii="Palatino Linotype" w:hAnsi="Palatino Linotype"/>
          <w:sz w:val="24"/>
          <w:szCs w:val="24"/>
        </w:rPr>
        <w:t xml:space="preserve"> </w:t>
      </w:r>
      <w:r w:rsidR="00AB3E4B">
        <w:rPr>
          <w:rFonts w:ascii="Palatino Linotype" w:hAnsi="Palatino Linotype"/>
          <w:sz w:val="24"/>
          <w:szCs w:val="24"/>
        </w:rPr>
        <w:t>“</w:t>
      </w:r>
      <w:r w:rsidR="00AB3E4B" w:rsidRPr="00AB3E4B">
        <w:rPr>
          <w:rFonts w:ascii="Palatino Linotype" w:hAnsi="Palatino Linotype"/>
          <w:sz w:val="24"/>
          <w:szCs w:val="24"/>
        </w:rPr>
        <w:t>the exceptions”)</w:t>
      </w:r>
      <w:r w:rsidR="00AB3E4B">
        <w:rPr>
          <w:rFonts w:ascii="Palatino Linotype" w:hAnsi="Palatino Linotype"/>
          <w:sz w:val="24"/>
          <w:szCs w:val="24"/>
        </w:rPr>
        <w:t>,</w:t>
      </w:r>
      <w:r w:rsidR="00AB3E4B" w:rsidRPr="00AB3E4B">
        <w:rPr>
          <w:rFonts w:ascii="Palatino Linotype" w:hAnsi="Palatino Linotype"/>
          <w:sz w:val="24"/>
          <w:szCs w:val="24"/>
        </w:rPr>
        <w:t xml:space="preserve"> </w:t>
      </w:r>
      <w:r w:rsidRPr="00AB3E4B">
        <w:rPr>
          <w:rFonts w:ascii="Palatino Linotype" w:hAnsi="Palatino Linotype"/>
          <w:sz w:val="24"/>
          <w:szCs w:val="24"/>
        </w:rPr>
        <w:t xml:space="preserve">and indeed on a “belt and braces basis”, otherwise.    </w:t>
      </w:r>
    </w:p>
    <w:p w:rsidR="00763691" w:rsidRPr="00AB3E4B" w:rsidRDefault="00763691" w:rsidP="00AB3E4B">
      <w:pPr>
        <w:spacing w:line="360" w:lineRule="auto"/>
        <w:jc w:val="both"/>
        <w:rPr>
          <w:rFonts w:ascii="Palatino Linotype" w:hAnsi="Palatino Linotype"/>
          <w:b/>
          <w:sz w:val="24"/>
          <w:szCs w:val="24"/>
        </w:rPr>
      </w:pPr>
      <w:r w:rsidRPr="00AB3E4B">
        <w:rPr>
          <w:rFonts w:ascii="Palatino Linotype" w:hAnsi="Palatino Linotype"/>
          <w:b/>
          <w:sz w:val="24"/>
          <w:szCs w:val="24"/>
        </w:rPr>
        <w:t xml:space="preserve">The Opinion of </w:t>
      </w:r>
    </w:p>
    <w:p w:rsidR="00763691" w:rsidRPr="00AB3E4B" w:rsidRDefault="00763691" w:rsidP="00AB3E4B">
      <w:pPr>
        <w:spacing w:line="360" w:lineRule="auto"/>
        <w:jc w:val="both"/>
        <w:rPr>
          <w:rFonts w:ascii="Lucida Handwriting" w:hAnsi="Lucida Handwriting"/>
          <w:b/>
          <w:sz w:val="24"/>
          <w:szCs w:val="24"/>
        </w:rPr>
      </w:pPr>
      <w:r w:rsidRPr="00AB3E4B">
        <w:rPr>
          <w:rFonts w:ascii="Lucida Handwriting" w:hAnsi="Lucida Handwriting"/>
          <w:b/>
          <w:sz w:val="24"/>
          <w:szCs w:val="24"/>
        </w:rPr>
        <w:t>Scott Blair</w:t>
      </w:r>
    </w:p>
    <w:p w:rsidR="00763691" w:rsidRPr="00AB3E4B" w:rsidRDefault="00763691" w:rsidP="00AB3E4B">
      <w:pPr>
        <w:spacing w:line="360" w:lineRule="auto"/>
        <w:jc w:val="both"/>
        <w:rPr>
          <w:rFonts w:ascii="Palatino Linotype" w:hAnsi="Palatino Linotype"/>
          <w:b/>
          <w:sz w:val="24"/>
          <w:szCs w:val="24"/>
        </w:rPr>
      </w:pPr>
      <w:r w:rsidRPr="00AB3E4B">
        <w:rPr>
          <w:rFonts w:ascii="Palatino Linotype" w:hAnsi="Palatino Linotype"/>
          <w:b/>
          <w:sz w:val="24"/>
          <w:szCs w:val="24"/>
        </w:rPr>
        <w:t>Advocate</w:t>
      </w:r>
    </w:p>
    <w:p w:rsidR="00763691" w:rsidRPr="00AB3E4B" w:rsidRDefault="00763691" w:rsidP="00AB3E4B">
      <w:pPr>
        <w:spacing w:line="360" w:lineRule="auto"/>
        <w:jc w:val="both"/>
        <w:rPr>
          <w:rFonts w:ascii="Palatino Linotype" w:hAnsi="Palatino Linotype"/>
          <w:b/>
          <w:sz w:val="24"/>
          <w:szCs w:val="24"/>
        </w:rPr>
      </w:pPr>
      <w:r w:rsidRPr="00AB3E4B">
        <w:rPr>
          <w:rFonts w:ascii="Palatino Linotype" w:hAnsi="Palatino Linotype"/>
          <w:b/>
          <w:sz w:val="24"/>
          <w:szCs w:val="24"/>
        </w:rPr>
        <w:t>Terra Firma Chambers</w:t>
      </w:r>
    </w:p>
    <w:p w:rsidR="00763691" w:rsidRPr="00AB3E4B" w:rsidRDefault="00AB3E4B" w:rsidP="00AB3E4B">
      <w:pPr>
        <w:spacing w:line="360" w:lineRule="auto"/>
        <w:jc w:val="both"/>
        <w:rPr>
          <w:rFonts w:ascii="Palatino Linotype" w:hAnsi="Palatino Linotype"/>
          <w:b/>
          <w:sz w:val="24"/>
          <w:szCs w:val="24"/>
        </w:rPr>
      </w:pPr>
      <w:r w:rsidRPr="00AB3E4B">
        <w:rPr>
          <w:rFonts w:ascii="Palatino Linotype" w:hAnsi="Palatino Linotype"/>
          <w:b/>
          <w:sz w:val="24"/>
          <w:szCs w:val="24"/>
        </w:rPr>
        <w:t>6</w:t>
      </w:r>
      <w:r w:rsidR="00763691" w:rsidRPr="00AB3E4B">
        <w:rPr>
          <w:rFonts w:ascii="Palatino Linotype" w:hAnsi="Palatino Linotype"/>
          <w:b/>
          <w:sz w:val="24"/>
          <w:szCs w:val="24"/>
        </w:rPr>
        <w:t xml:space="preserve"> December 2021</w:t>
      </w:r>
    </w:p>
    <w:p w:rsidR="000E49A2" w:rsidRDefault="000E49A2" w:rsidP="00AC606B">
      <w:pPr>
        <w:jc w:val="both"/>
        <w:rPr>
          <w:rFonts w:ascii="Palatino Linotype" w:hAnsi="Palatino Linotype"/>
          <w:b/>
          <w:sz w:val="24"/>
          <w:szCs w:val="24"/>
        </w:rPr>
      </w:pPr>
    </w:p>
    <w:p w:rsidR="000E49A2" w:rsidRDefault="000E49A2" w:rsidP="00AC606B">
      <w:pPr>
        <w:jc w:val="both"/>
        <w:rPr>
          <w:rFonts w:ascii="Palatino Linotype" w:hAnsi="Palatino Linotype"/>
          <w:b/>
          <w:sz w:val="24"/>
          <w:szCs w:val="24"/>
        </w:rPr>
      </w:pPr>
    </w:p>
    <w:p w:rsidR="000E49A2" w:rsidRDefault="000E49A2" w:rsidP="00AC606B">
      <w:pPr>
        <w:jc w:val="both"/>
        <w:rPr>
          <w:rFonts w:ascii="Palatino Linotype" w:hAnsi="Palatino Linotype"/>
          <w:b/>
          <w:sz w:val="24"/>
          <w:szCs w:val="24"/>
        </w:rPr>
      </w:pPr>
    </w:p>
    <w:sectPr w:rsidR="000E49A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0AD" w:rsidRDefault="00F750AD" w:rsidP="00CB5F07">
      <w:pPr>
        <w:spacing w:after="0" w:line="240" w:lineRule="auto"/>
      </w:pPr>
      <w:r>
        <w:separator/>
      </w:r>
    </w:p>
  </w:endnote>
  <w:endnote w:type="continuationSeparator" w:id="0">
    <w:p w:rsidR="00F750AD" w:rsidRDefault="00F750AD" w:rsidP="00CB5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235222"/>
      <w:docPartObj>
        <w:docPartGallery w:val="Page Numbers (Bottom of Page)"/>
        <w:docPartUnique/>
      </w:docPartObj>
    </w:sdtPr>
    <w:sdtEndPr>
      <w:rPr>
        <w:noProof/>
      </w:rPr>
    </w:sdtEndPr>
    <w:sdtContent>
      <w:p w:rsidR="00F23A3B" w:rsidRDefault="00F23A3B">
        <w:pPr>
          <w:pStyle w:val="Footer"/>
          <w:jc w:val="center"/>
        </w:pPr>
        <w:r>
          <w:fldChar w:fldCharType="begin"/>
        </w:r>
        <w:r>
          <w:instrText xml:space="preserve"> PAGE   \* MERGEFORMAT </w:instrText>
        </w:r>
        <w:r>
          <w:fldChar w:fldCharType="separate"/>
        </w:r>
        <w:r w:rsidR="00463CDC">
          <w:rPr>
            <w:noProof/>
          </w:rPr>
          <w:t>23</w:t>
        </w:r>
        <w:r>
          <w:rPr>
            <w:noProof/>
          </w:rPr>
          <w:fldChar w:fldCharType="end"/>
        </w:r>
      </w:p>
    </w:sdtContent>
  </w:sdt>
  <w:p w:rsidR="00F23A3B" w:rsidRDefault="00F23A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0AD" w:rsidRDefault="00F750AD" w:rsidP="00CB5F07">
      <w:pPr>
        <w:spacing w:after="0" w:line="240" w:lineRule="auto"/>
      </w:pPr>
      <w:r>
        <w:separator/>
      </w:r>
    </w:p>
  </w:footnote>
  <w:footnote w:type="continuationSeparator" w:id="0">
    <w:p w:rsidR="00F750AD" w:rsidRDefault="00F750AD" w:rsidP="00CB5F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1C95E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DF3208B"/>
    <w:multiLevelType w:val="multilevel"/>
    <w:tmpl w:val="6984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552C8C"/>
    <w:multiLevelType w:val="multilevel"/>
    <w:tmpl w:val="49AC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91"/>
    <w:rsid w:val="000E49A2"/>
    <w:rsid w:val="000F056B"/>
    <w:rsid w:val="001A5ACB"/>
    <w:rsid w:val="001B1A44"/>
    <w:rsid w:val="00251718"/>
    <w:rsid w:val="002D5233"/>
    <w:rsid w:val="002E2524"/>
    <w:rsid w:val="003127CA"/>
    <w:rsid w:val="00453138"/>
    <w:rsid w:val="00463CDC"/>
    <w:rsid w:val="005303F5"/>
    <w:rsid w:val="00557FBE"/>
    <w:rsid w:val="00580063"/>
    <w:rsid w:val="005A7CFC"/>
    <w:rsid w:val="005B4120"/>
    <w:rsid w:val="005E032F"/>
    <w:rsid w:val="0061281A"/>
    <w:rsid w:val="00660643"/>
    <w:rsid w:val="006E23DC"/>
    <w:rsid w:val="00701F4C"/>
    <w:rsid w:val="00763691"/>
    <w:rsid w:val="008D68AC"/>
    <w:rsid w:val="00980287"/>
    <w:rsid w:val="009B4D7E"/>
    <w:rsid w:val="00A67C00"/>
    <w:rsid w:val="00AA4B5F"/>
    <w:rsid w:val="00AB3E4B"/>
    <w:rsid w:val="00AC606B"/>
    <w:rsid w:val="00B32B42"/>
    <w:rsid w:val="00CB5F07"/>
    <w:rsid w:val="00CD3C51"/>
    <w:rsid w:val="00D7156C"/>
    <w:rsid w:val="00F1194B"/>
    <w:rsid w:val="00F23A3B"/>
    <w:rsid w:val="00F750AD"/>
    <w:rsid w:val="00F82653"/>
    <w:rsid w:val="00FF5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6369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3691"/>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763691"/>
    <w:rPr>
      <w:b/>
      <w:bCs/>
    </w:rPr>
  </w:style>
  <w:style w:type="paragraph" w:styleId="NormalWeb">
    <w:name w:val="Normal (Web)"/>
    <w:basedOn w:val="Normal"/>
    <w:uiPriority w:val="99"/>
    <w:semiHidden/>
    <w:unhideWhenUsed/>
    <w:rsid w:val="007636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63691"/>
    <w:rPr>
      <w:color w:val="0000FF"/>
      <w:u w:val="single"/>
    </w:rPr>
  </w:style>
  <w:style w:type="paragraph" w:styleId="ListBullet">
    <w:name w:val="List Bullet"/>
    <w:basedOn w:val="Normal"/>
    <w:uiPriority w:val="99"/>
    <w:unhideWhenUsed/>
    <w:rsid w:val="00D7156C"/>
    <w:pPr>
      <w:numPr>
        <w:numId w:val="1"/>
      </w:numPr>
      <w:contextualSpacing/>
    </w:pPr>
  </w:style>
  <w:style w:type="paragraph" w:styleId="Header">
    <w:name w:val="header"/>
    <w:basedOn w:val="Normal"/>
    <w:link w:val="HeaderChar"/>
    <w:uiPriority w:val="99"/>
    <w:unhideWhenUsed/>
    <w:rsid w:val="00CB5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F07"/>
  </w:style>
  <w:style w:type="paragraph" w:styleId="Footer">
    <w:name w:val="footer"/>
    <w:basedOn w:val="Normal"/>
    <w:link w:val="FooterChar"/>
    <w:uiPriority w:val="99"/>
    <w:unhideWhenUsed/>
    <w:rsid w:val="00CB5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6369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3691"/>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763691"/>
    <w:rPr>
      <w:b/>
      <w:bCs/>
    </w:rPr>
  </w:style>
  <w:style w:type="paragraph" w:styleId="NormalWeb">
    <w:name w:val="Normal (Web)"/>
    <w:basedOn w:val="Normal"/>
    <w:uiPriority w:val="99"/>
    <w:semiHidden/>
    <w:unhideWhenUsed/>
    <w:rsid w:val="007636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63691"/>
    <w:rPr>
      <w:color w:val="0000FF"/>
      <w:u w:val="single"/>
    </w:rPr>
  </w:style>
  <w:style w:type="paragraph" w:styleId="ListBullet">
    <w:name w:val="List Bullet"/>
    <w:basedOn w:val="Normal"/>
    <w:uiPriority w:val="99"/>
    <w:unhideWhenUsed/>
    <w:rsid w:val="00D7156C"/>
    <w:pPr>
      <w:numPr>
        <w:numId w:val="1"/>
      </w:numPr>
      <w:contextualSpacing/>
    </w:pPr>
  </w:style>
  <w:style w:type="paragraph" w:styleId="Header">
    <w:name w:val="header"/>
    <w:basedOn w:val="Normal"/>
    <w:link w:val="HeaderChar"/>
    <w:uiPriority w:val="99"/>
    <w:unhideWhenUsed/>
    <w:rsid w:val="00CB5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F07"/>
  </w:style>
  <w:style w:type="paragraph" w:styleId="Footer">
    <w:name w:val="footer"/>
    <w:basedOn w:val="Normal"/>
    <w:link w:val="FooterChar"/>
    <w:uiPriority w:val="99"/>
    <w:unhideWhenUsed/>
    <w:rsid w:val="00CB5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714324">
      <w:bodyDiv w:val="1"/>
      <w:marLeft w:val="0"/>
      <w:marRight w:val="0"/>
      <w:marTop w:val="0"/>
      <w:marBottom w:val="0"/>
      <w:divBdr>
        <w:top w:val="none" w:sz="0" w:space="0" w:color="auto"/>
        <w:left w:val="none" w:sz="0" w:space="0" w:color="auto"/>
        <w:bottom w:val="none" w:sz="0" w:space="0" w:color="auto"/>
        <w:right w:val="none" w:sz="0" w:space="0" w:color="auto"/>
      </w:divBdr>
    </w:div>
    <w:div w:id="1636332528">
      <w:bodyDiv w:val="1"/>
      <w:marLeft w:val="0"/>
      <w:marRight w:val="0"/>
      <w:marTop w:val="0"/>
      <w:marBottom w:val="0"/>
      <w:divBdr>
        <w:top w:val="none" w:sz="0" w:space="0" w:color="auto"/>
        <w:left w:val="none" w:sz="0" w:space="0" w:color="auto"/>
        <w:bottom w:val="none" w:sz="0" w:space="0" w:color="auto"/>
        <w:right w:val="none" w:sz="0" w:space="0" w:color="auto"/>
      </w:divBdr>
      <w:divsChild>
        <w:div w:id="236675518">
          <w:marLeft w:val="0"/>
          <w:marRight w:val="0"/>
          <w:marTop w:val="0"/>
          <w:marBottom w:val="0"/>
          <w:divBdr>
            <w:top w:val="none" w:sz="0" w:space="0" w:color="auto"/>
            <w:left w:val="none" w:sz="0" w:space="0" w:color="auto"/>
            <w:bottom w:val="none" w:sz="0" w:space="0" w:color="auto"/>
            <w:right w:val="none" w:sz="0" w:space="0" w:color="auto"/>
          </w:divBdr>
        </w:div>
      </w:divsChild>
    </w:div>
    <w:div w:id="2008750691">
      <w:bodyDiv w:val="1"/>
      <w:marLeft w:val="0"/>
      <w:marRight w:val="0"/>
      <w:marTop w:val="0"/>
      <w:marBottom w:val="0"/>
      <w:divBdr>
        <w:top w:val="none" w:sz="0" w:space="0" w:color="auto"/>
        <w:left w:val="none" w:sz="0" w:space="0" w:color="auto"/>
        <w:bottom w:val="none" w:sz="0" w:space="0" w:color="auto"/>
        <w:right w:val="none" w:sz="0" w:space="0" w:color="auto"/>
      </w:divBdr>
      <w:divsChild>
        <w:div w:id="1579680041">
          <w:marLeft w:val="0"/>
          <w:marRight w:val="0"/>
          <w:marTop w:val="0"/>
          <w:marBottom w:val="0"/>
          <w:divBdr>
            <w:top w:val="none" w:sz="0" w:space="0" w:color="auto"/>
            <w:left w:val="none" w:sz="0" w:space="0" w:color="auto"/>
            <w:bottom w:val="none" w:sz="0" w:space="0" w:color="auto"/>
            <w:right w:val="none" w:sz="0" w:space="0" w:color="auto"/>
          </w:divBdr>
          <w:divsChild>
            <w:div w:id="410203829">
              <w:marLeft w:val="0"/>
              <w:marRight w:val="0"/>
              <w:marTop w:val="0"/>
              <w:marBottom w:val="0"/>
              <w:divBdr>
                <w:top w:val="none" w:sz="0" w:space="0" w:color="auto"/>
                <w:left w:val="none" w:sz="0" w:space="0" w:color="auto"/>
                <w:bottom w:val="none" w:sz="0" w:space="0" w:color="auto"/>
                <w:right w:val="none" w:sz="0" w:space="0" w:color="auto"/>
              </w:divBdr>
            </w:div>
            <w:div w:id="1279947750">
              <w:marLeft w:val="0"/>
              <w:marRight w:val="0"/>
              <w:marTop w:val="0"/>
              <w:marBottom w:val="0"/>
              <w:divBdr>
                <w:top w:val="none" w:sz="0" w:space="0" w:color="auto"/>
                <w:left w:val="none" w:sz="0" w:space="0" w:color="auto"/>
                <w:bottom w:val="none" w:sz="0" w:space="0" w:color="auto"/>
                <w:right w:val="none" w:sz="0" w:space="0" w:color="auto"/>
              </w:divBdr>
            </w:div>
          </w:divsChild>
        </w:div>
        <w:div w:id="326598346">
          <w:marLeft w:val="0"/>
          <w:marRight w:val="0"/>
          <w:marTop w:val="0"/>
          <w:marBottom w:val="0"/>
          <w:divBdr>
            <w:top w:val="none" w:sz="0" w:space="0" w:color="auto"/>
            <w:left w:val="none" w:sz="0" w:space="0" w:color="auto"/>
            <w:bottom w:val="none" w:sz="0" w:space="0" w:color="auto"/>
            <w:right w:val="none" w:sz="0" w:space="0" w:color="auto"/>
          </w:divBdr>
        </w:div>
        <w:div w:id="89668533">
          <w:marLeft w:val="0"/>
          <w:marRight w:val="0"/>
          <w:marTop w:val="0"/>
          <w:marBottom w:val="0"/>
          <w:divBdr>
            <w:top w:val="none" w:sz="0" w:space="0" w:color="auto"/>
            <w:left w:val="none" w:sz="0" w:space="0" w:color="auto"/>
            <w:bottom w:val="none" w:sz="0" w:space="0" w:color="auto"/>
            <w:right w:val="none" w:sz="0" w:space="0" w:color="auto"/>
          </w:divBdr>
          <w:divsChild>
            <w:div w:id="935018241">
              <w:marLeft w:val="0"/>
              <w:marRight w:val="0"/>
              <w:marTop w:val="0"/>
              <w:marBottom w:val="0"/>
              <w:divBdr>
                <w:top w:val="none" w:sz="0" w:space="0" w:color="auto"/>
                <w:left w:val="none" w:sz="0" w:space="0" w:color="auto"/>
                <w:bottom w:val="none" w:sz="0" w:space="0" w:color="auto"/>
                <w:right w:val="none" w:sz="0" w:space="0" w:color="auto"/>
              </w:divBdr>
            </w:div>
            <w:div w:id="622274070">
              <w:marLeft w:val="0"/>
              <w:marRight w:val="0"/>
              <w:marTop w:val="0"/>
              <w:marBottom w:val="0"/>
              <w:divBdr>
                <w:top w:val="none" w:sz="0" w:space="0" w:color="auto"/>
                <w:left w:val="none" w:sz="0" w:space="0" w:color="auto"/>
                <w:bottom w:val="none" w:sz="0" w:space="0" w:color="auto"/>
                <w:right w:val="none" w:sz="0" w:space="0" w:color="auto"/>
              </w:divBdr>
            </w:div>
            <w:div w:id="796875444">
              <w:marLeft w:val="0"/>
              <w:marRight w:val="0"/>
              <w:marTop w:val="0"/>
              <w:marBottom w:val="0"/>
              <w:divBdr>
                <w:top w:val="none" w:sz="0" w:space="0" w:color="auto"/>
                <w:left w:val="none" w:sz="0" w:space="0" w:color="auto"/>
                <w:bottom w:val="none" w:sz="0" w:space="0" w:color="auto"/>
                <w:right w:val="none" w:sz="0" w:space="0" w:color="auto"/>
              </w:divBdr>
            </w:div>
            <w:div w:id="1348020776">
              <w:marLeft w:val="0"/>
              <w:marRight w:val="0"/>
              <w:marTop w:val="0"/>
              <w:marBottom w:val="0"/>
              <w:divBdr>
                <w:top w:val="none" w:sz="0" w:space="0" w:color="auto"/>
                <w:left w:val="none" w:sz="0" w:space="0" w:color="auto"/>
                <w:bottom w:val="none" w:sz="0" w:space="0" w:color="auto"/>
                <w:right w:val="none" w:sz="0" w:space="0" w:color="auto"/>
              </w:divBdr>
            </w:div>
            <w:div w:id="1394429090">
              <w:marLeft w:val="0"/>
              <w:marRight w:val="0"/>
              <w:marTop w:val="0"/>
              <w:marBottom w:val="0"/>
              <w:divBdr>
                <w:top w:val="none" w:sz="0" w:space="0" w:color="auto"/>
                <w:left w:val="none" w:sz="0" w:space="0" w:color="auto"/>
                <w:bottom w:val="none" w:sz="0" w:space="0" w:color="auto"/>
                <w:right w:val="none" w:sz="0" w:space="0" w:color="auto"/>
              </w:divBdr>
            </w:div>
          </w:divsChild>
        </w:div>
        <w:div w:id="566957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sdsi/2022/9780111052396/data.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k.westlaw.com/Document/I276EDA20E44A11DA8D70A0E70A78ED65/View/FullText.html?originationContext=document&amp;transitionType=DocumentItem&amp;ppcid=25e03228b4ea420a839f23605fb53123&amp;contextData=(sc.DocLink)" TargetMode="External"/><Relationship Id="rId5" Type="http://schemas.openxmlformats.org/officeDocument/2006/relationships/webSettings" Target="webSettings.xml"/><Relationship Id="rId10" Type="http://schemas.openxmlformats.org/officeDocument/2006/relationships/hyperlink" Target="https://www.gov.scot/publications/short-term-lets/" TargetMode="External"/><Relationship Id="rId4" Type="http://schemas.openxmlformats.org/officeDocument/2006/relationships/settings" Target="settings.xml"/><Relationship Id="rId9" Type="http://schemas.openxmlformats.org/officeDocument/2006/relationships/hyperlink" Target="https://www.gov.scot/publications/short-term-lets-business-regulatory-impact-assessment/pages/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6695</Words>
  <Characters>38165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2</cp:revision>
  <dcterms:created xsi:type="dcterms:W3CDTF">2021-12-06T08:48:00Z</dcterms:created>
  <dcterms:modified xsi:type="dcterms:W3CDTF">2021-12-06T08:48:00Z</dcterms:modified>
</cp:coreProperties>
</file>