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B60169" w14:textId="46F8A483" w:rsidR="006D77E7" w:rsidRDefault="006D77E7" w:rsidP="00867F47">
      <w:pPr>
        <w:jc w:val="center"/>
        <w:rPr>
          <w:b/>
          <w:sz w:val="21"/>
          <w:szCs w:val="21"/>
        </w:rPr>
      </w:pPr>
      <w:r>
        <w:rPr>
          <w:b/>
          <w:noProof/>
          <w:sz w:val="21"/>
          <w:szCs w:val="21"/>
        </w:rPr>
        <w:drawing>
          <wp:inline distT="0" distB="0" distL="0" distR="0" wp14:anchorId="4BCC169F" wp14:editId="03EA95C0">
            <wp:extent cx="952500" cy="9271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SSC_40b.jpg"/>
                    <pic:cNvPicPr/>
                  </pic:nvPicPr>
                  <pic:blipFill>
                    <a:blip r:embed="rId7">
                      <a:extLst>
                        <a:ext uri="{28A0092B-C50C-407E-A947-70E740481C1C}">
                          <a14:useLocalDpi xmlns:a14="http://schemas.microsoft.com/office/drawing/2010/main" val="0"/>
                        </a:ext>
                      </a:extLst>
                    </a:blip>
                    <a:stretch>
                      <a:fillRect/>
                    </a:stretch>
                  </pic:blipFill>
                  <pic:spPr>
                    <a:xfrm>
                      <a:off x="0" y="0"/>
                      <a:ext cx="952500" cy="927100"/>
                    </a:xfrm>
                    <a:prstGeom prst="rect">
                      <a:avLst/>
                    </a:prstGeom>
                  </pic:spPr>
                </pic:pic>
              </a:graphicData>
            </a:graphic>
          </wp:inline>
        </w:drawing>
      </w:r>
    </w:p>
    <w:p w14:paraId="450322F8" w14:textId="77777777" w:rsidR="006D77E7" w:rsidRDefault="006D77E7" w:rsidP="00867F47">
      <w:pPr>
        <w:jc w:val="center"/>
        <w:rPr>
          <w:b/>
          <w:sz w:val="21"/>
          <w:szCs w:val="21"/>
        </w:rPr>
      </w:pPr>
    </w:p>
    <w:p w14:paraId="764A9963" w14:textId="0D08B11C" w:rsidR="00340F6A" w:rsidRPr="00F519B1" w:rsidRDefault="00340F6A" w:rsidP="0088054D">
      <w:pPr>
        <w:jc w:val="center"/>
        <w:rPr>
          <w:b/>
          <w:sz w:val="21"/>
          <w:szCs w:val="21"/>
          <w:u w:val="single"/>
        </w:rPr>
      </w:pPr>
      <w:r w:rsidRPr="00F519B1">
        <w:rPr>
          <w:b/>
          <w:sz w:val="21"/>
          <w:szCs w:val="21"/>
          <w:u w:val="single"/>
        </w:rPr>
        <w:t>Competition Law</w:t>
      </w:r>
      <w:bookmarkStart w:id="0" w:name="_GoBack"/>
      <w:bookmarkEnd w:id="0"/>
    </w:p>
    <w:p w14:paraId="2CF48AFA" w14:textId="77777777" w:rsidR="00340F6A" w:rsidRPr="00340F6A" w:rsidRDefault="00340F6A" w:rsidP="00340F6A"/>
    <w:p w14:paraId="784E5044" w14:textId="3F013209" w:rsidR="00340F6A" w:rsidRDefault="00FA3930" w:rsidP="00340F6A">
      <w:pPr>
        <w:rPr>
          <w:sz w:val="21"/>
          <w:szCs w:val="21"/>
        </w:rPr>
      </w:pPr>
      <w:r w:rsidRPr="00291FD0">
        <w:rPr>
          <w:b/>
          <w:sz w:val="21"/>
          <w:szCs w:val="21"/>
        </w:rPr>
        <w:t>F</w:t>
      </w:r>
      <w:r w:rsidR="00340F6A" w:rsidRPr="00291FD0">
        <w:rPr>
          <w:b/>
          <w:sz w:val="21"/>
          <w:szCs w:val="21"/>
        </w:rPr>
        <w:t>avouring hotels or serviced apartments over short-term lets in Scotland could raise concerns of anti-competitive behaviour and potentially lead to legal challenges</w:t>
      </w:r>
      <w:r w:rsidRPr="00291FD0">
        <w:rPr>
          <w:b/>
          <w:sz w:val="21"/>
          <w:szCs w:val="21"/>
        </w:rPr>
        <w:t xml:space="preserve"> with regard to violations against Competition Laws</w:t>
      </w:r>
      <w:r w:rsidR="00340F6A" w:rsidRPr="00340F6A">
        <w:rPr>
          <w:sz w:val="21"/>
          <w:szCs w:val="21"/>
        </w:rPr>
        <w:t>. Competition laws are designed to promote fair competition, prevent market distortions, and protect consumers. If a local authority were to enact policies or regulations that explicitly favo</w:t>
      </w:r>
      <w:r w:rsidR="00340F6A">
        <w:rPr>
          <w:sz w:val="21"/>
          <w:szCs w:val="21"/>
        </w:rPr>
        <w:t>u</w:t>
      </w:r>
      <w:r w:rsidR="00340F6A" w:rsidRPr="00340F6A">
        <w:rPr>
          <w:sz w:val="21"/>
          <w:szCs w:val="21"/>
        </w:rPr>
        <w:t xml:space="preserve">r hotels </w:t>
      </w:r>
      <w:r w:rsidR="00340F6A">
        <w:rPr>
          <w:sz w:val="21"/>
          <w:szCs w:val="21"/>
        </w:rPr>
        <w:t xml:space="preserve">or serviced apartments </w:t>
      </w:r>
      <w:r w:rsidR="00340F6A" w:rsidRPr="00340F6A">
        <w:rPr>
          <w:sz w:val="21"/>
          <w:szCs w:val="21"/>
        </w:rPr>
        <w:t>over short-term lets, it could be viewed as discriminatory and anti-competitive. Implications</w:t>
      </w:r>
      <w:r w:rsidR="00340F6A">
        <w:rPr>
          <w:sz w:val="21"/>
          <w:szCs w:val="21"/>
        </w:rPr>
        <w:t xml:space="preserve"> include</w:t>
      </w:r>
      <w:r w:rsidR="00340F6A" w:rsidRPr="00340F6A">
        <w:rPr>
          <w:sz w:val="21"/>
          <w:szCs w:val="21"/>
        </w:rPr>
        <w:t>:</w:t>
      </w:r>
    </w:p>
    <w:p w14:paraId="3DECEAD0" w14:textId="77777777" w:rsidR="00340F6A" w:rsidRPr="00340F6A" w:rsidRDefault="00340F6A" w:rsidP="00340F6A">
      <w:pPr>
        <w:rPr>
          <w:sz w:val="21"/>
          <w:szCs w:val="21"/>
        </w:rPr>
      </w:pPr>
    </w:p>
    <w:p w14:paraId="6F6A3211" w14:textId="0EDC4F37" w:rsidR="00340F6A" w:rsidRPr="00340F6A" w:rsidRDefault="00340F6A" w:rsidP="00340F6A">
      <w:pPr>
        <w:rPr>
          <w:sz w:val="21"/>
          <w:szCs w:val="21"/>
        </w:rPr>
      </w:pPr>
      <w:r w:rsidRPr="00340F6A">
        <w:rPr>
          <w:b/>
          <w:sz w:val="21"/>
          <w:szCs w:val="21"/>
        </w:rPr>
        <w:t>1. Anti-Competitive Behaviour:</w:t>
      </w:r>
      <w:r w:rsidRPr="00340F6A">
        <w:rPr>
          <w:sz w:val="21"/>
          <w:szCs w:val="21"/>
        </w:rPr>
        <w:t xml:space="preserve"> If a local authority implements regulations that create an uneven playing field, giving preferential treatment to hotels </w:t>
      </w:r>
      <w:r w:rsidR="00BB63CE">
        <w:rPr>
          <w:sz w:val="21"/>
          <w:szCs w:val="21"/>
        </w:rPr>
        <w:t xml:space="preserve">or serviced apartments </w:t>
      </w:r>
      <w:r w:rsidRPr="00340F6A">
        <w:rPr>
          <w:sz w:val="21"/>
          <w:szCs w:val="21"/>
        </w:rPr>
        <w:t>while placing burdensome restrictions or limitations on short-term lets, it could be considered anti-competitive. Such actions may limit consumer choice and hinder competition in the accommodation market.</w:t>
      </w:r>
    </w:p>
    <w:p w14:paraId="580FAFA2" w14:textId="77777777" w:rsidR="00340F6A" w:rsidRPr="00340F6A" w:rsidRDefault="00340F6A" w:rsidP="00340F6A">
      <w:pPr>
        <w:rPr>
          <w:sz w:val="21"/>
          <w:szCs w:val="21"/>
        </w:rPr>
      </w:pPr>
      <w:r w:rsidRPr="00BB63CE">
        <w:rPr>
          <w:b/>
          <w:sz w:val="21"/>
          <w:szCs w:val="21"/>
        </w:rPr>
        <w:t>2. Potential Legal Challenges:</w:t>
      </w:r>
      <w:r w:rsidRPr="00340F6A">
        <w:rPr>
          <w:sz w:val="21"/>
          <w:szCs w:val="21"/>
        </w:rPr>
        <w:t xml:space="preserve"> Short-term let operators or platforms may challenge the local authority's policies in court, citing violations of competition laws. They could argue that the policies create barriers to entry, unfairly advantage one sector over another, and restrict fair competition.</w:t>
      </w:r>
    </w:p>
    <w:p w14:paraId="6CD1C49F" w14:textId="1FE46104" w:rsidR="00340F6A" w:rsidRPr="00340F6A" w:rsidRDefault="00340F6A" w:rsidP="00340F6A">
      <w:pPr>
        <w:rPr>
          <w:sz w:val="21"/>
          <w:szCs w:val="21"/>
        </w:rPr>
      </w:pPr>
      <w:r w:rsidRPr="00BB63CE">
        <w:rPr>
          <w:b/>
          <w:sz w:val="21"/>
          <w:szCs w:val="21"/>
        </w:rPr>
        <w:t>3. Impact on Innovation:</w:t>
      </w:r>
      <w:r w:rsidRPr="00340F6A">
        <w:rPr>
          <w:sz w:val="21"/>
          <w:szCs w:val="21"/>
        </w:rPr>
        <w:t xml:space="preserve"> Competition is often a driving force behind innovation and improvements in service quality and pricing. By favo</w:t>
      </w:r>
      <w:r>
        <w:rPr>
          <w:sz w:val="21"/>
          <w:szCs w:val="21"/>
        </w:rPr>
        <w:t>u</w:t>
      </w:r>
      <w:r w:rsidRPr="00340F6A">
        <w:rPr>
          <w:sz w:val="21"/>
          <w:szCs w:val="21"/>
        </w:rPr>
        <w:t>ring hotels</w:t>
      </w:r>
      <w:r w:rsidR="00BB63CE">
        <w:rPr>
          <w:sz w:val="21"/>
          <w:szCs w:val="21"/>
        </w:rPr>
        <w:t xml:space="preserve"> and serviced accommodation</w:t>
      </w:r>
      <w:r w:rsidRPr="00340F6A">
        <w:rPr>
          <w:sz w:val="21"/>
          <w:szCs w:val="21"/>
        </w:rPr>
        <w:t xml:space="preserve"> over short-term lets, the local authority could stifle innovation in the accommodation sector and limit the range of options available to consumers.</w:t>
      </w:r>
    </w:p>
    <w:p w14:paraId="467101BF" w14:textId="3E9D460F" w:rsidR="00340F6A" w:rsidRPr="00340F6A" w:rsidRDefault="00340F6A" w:rsidP="00340F6A">
      <w:pPr>
        <w:rPr>
          <w:sz w:val="21"/>
          <w:szCs w:val="21"/>
        </w:rPr>
      </w:pPr>
      <w:r w:rsidRPr="00BB63CE">
        <w:rPr>
          <w:b/>
          <w:sz w:val="21"/>
          <w:szCs w:val="21"/>
        </w:rPr>
        <w:t>4. Housing Market Distortions:</w:t>
      </w:r>
      <w:r w:rsidRPr="00340F6A">
        <w:rPr>
          <w:sz w:val="21"/>
          <w:szCs w:val="21"/>
        </w:rPr>
        <w:t xml:space="preserve"> Short-term lets are often used to address temporary accommodation needs and can have a different impact on the housing market compared to hotels. Favo</w:t>
      </w:r>
      <w:r w:rsidR="00BB63CE">
        <w:rPr>
          <w:sz w:val="21"/>
          <w:szCs w:val="21"/>
        </w:rPr>
        <w:t>u</w:t>
      </w:r>
      <w:r w:rsidRPr="00340F6A">
        <w:rPr>
          <w:sz w:val="21"/>
          <w:szCs w:val="21"/>
        </w:rPr>
        <w:t xml:space="preserve">ring hotels </w:t>
      </w:r>
      <w:r w:rsidR="00BB63CE">
        <w:rPr>
          <w:sz w:val="21"/>
          <w:szCs w:val="21"/>
        </w:rPr>
        <w:t xml:space="preserve">and serviced apartments </w:t>
      </w:r>
      <w:r w:rsidRPr="00340F6A">
        <w:rPr>
          <w:sz w:val="21"/>
          <w:szCs w:val="21"/>
        </w:rPr>
        <w:t xml:space="preserve">over short-term </w:t>
      </w:r>
      <w:proofErr w:type="gramStart"/>
      <w:r w:rsidRPr="00340F6A">
        <w:rPr>
          <w:sz w:val="21"/>
          <w:szCs w:val="21"/>
        </w:rPr>
        <w:t>lets</w:t>
      </w:r>
      <w:proofErr w:type="gramEnd"/>
      <w:r w:rsidRPr="00340F6A">
        <w:rPr>
          <w:sz w:val="21"/>
          <w:szCs w:val="21"/>
        </w:rPr>
        <w:t xml:space="preserve"> could distort the housing market dynamics and affect the availability of short-term accommodation options.</w:t>
      </w:r>
    </w:p>
    <w:p w14:paraId="785CCB22" w14:textId="6C4CC5C0" w:rsidR="00340F6A" w:rsidRPr="00340F6A" w:rsidRDefault="00340F6A" w:rsidP="00340F6A">
      <w:pPr>
        <w:rPr>
          <w:sz w:val="21"/>
          <w:szCs w:val="21"/>
        </w:rPr>
      </w:pPr>
      <w:r w:rsidRPr="00BB63CE">
        <w:rPr>
          <w:b/>
          <w:sz w:val="21"/>
          <w:szCs w:val="21"/>
        </w:rPr>
        <w:t>5. Consumer Choice and Prices:</w:t>
      </w:r>
      <w:r w:rsidRPr="00340F6A">
        <w:rPr>
          <w:sz w:val="21"/>
          <w:szCs w:val="21"/>
        </w:rPr>
        <w:t xml:space="preserve"> Competition between hotels and short-term </w:t>
      </w:r>
      <w:proofErr w:type="gramStart"/>
      <w:r w:rsidRPr="00340F6A">
        <w:rPr>
          <w:sz w:val="21"/>
          <w:szCs w:val="21"/>
        </w:rPr>
        <w:t>lets</w:t>
      </w:r>
      <w:proofErr w:type="gramEnd"/>
      <w:r w:rsidRPr="00340F6A">
        <w:rPr>
          <w:sz w:val="21"/>
          <w:szCs w:val="21"/>
        </w:rPr>
        <w:t xml:space="preserve"> can lead to more competitive pricing and a wider range of accommodation options for consumers. By favo</w:t>
      </w:r>
      <w:r w:rsidR="00BB63CE">
        <w:rPr>
          <w:sz w:val="21"/>
          <w:szCs w:val="21"/>
        </w:rPr>
        <w:t>u</w:t>
      </w:r>
      <w:r w:rsidRPr="00340F6A">
        <w:rPr>
          <w:sz w:val="21"/>
          <w:szCs w:val="21"/>
        </w:rPr>
        <w:t>ring hotels</w:t>
      </w:r>
      <w:r w:rsidR="00BB63CE">
        <w:rPr>
          <w:sz w:val="21"/>
          <w:szCs w:val="21"/>
        </w:rPr>
        <w:t xml:space="preserve"> and serviced apartments</w:t>
      </w:r>
      <w:r w:rsidRPr="00340F6A">
        <w:rPr>
          <w:sz w:val="21"/>
          <w:szCs w:val="21"/>
        </w:rPr>
        <w:t>, consumers may have fewer choices, and prices could be higher than they would be in a competitive market.</w:t>
      </w:r>
    </w:p>
    <w:p w14:paraId="1AE9D3E3" w14:textId="64057962" w:rsidR="00340F6A" w:rsidRPr="00340F6A" w:rsidRDefault="00340F6A" w:rsidP="00340F6A">
      <w:pPr>
        <w:rPr>
          <w:sz w:val="21"/>
          <w:szCs w:val="21"/>
        </w:rPr>
      </w:pPr>
      <w:r w:rsidRPr="00BB63CE">
        <w:rPr>
          <w:b/>
          <w:sz w:val="21"/>
          <w:szCs w:val="21"/>
        </w:rPr>
        <w:t>6. Tourism Industry Impact:</w:t>
      </w:r>
      <w:r w:rsidRPr="00340F6A">
        <w:rPr>
          <w:sz w:val="21"/>
          <w:szCs w:val="21"/>
        </w:rPr>
        <w:t xml:space="preserve"> Short-term </w:t>
      </w:r>
      <w:proofErr w:type="spellStart"/>
      <w:proofErr w:type="gramStart"/>
      <w:r w:rsidRPr="00340F6A">
        <w:rPr>
          <w:sz w:val="21"/>
          <w:szCs w:val="21"/>
        </w:rPr>
        <w:t>lets</w:t>
      </w:r>
      <w:proofErr w:type="spellEnd"/>
      <w:proofErr w:type="gramEnd"/>
      <w:r w:rsidRPr="00340F6A">
        <w:rPr>
          <w:sz w:val="21"/>
          <w:szCs w:val="21"/>
        </w:rPr>
        <w:t xml:space="preserve"> play a </w:t>
      </w:r>
      <w:r w:rsidR="00BB63CE">
        <w:rPr>
          <w:sz w:val="21"/>
          <w:szCs w:val="21"/>
        </w:rPr>
        <w:t xml:space="preserve">vital </w:t>
      </w:r>
      <w:r w:rsidRPr="00340F6A">
        <w:rPr>
          <w:sz w:val="21"/>
          <w:szCs w:val="21"/>
        </w:rPr>
        <w:t>role in supporting the tourism industry, attracting visitors who seek alternative and unique accommodation experiences. Favo</w:t>
      </w:r>
      <w:r w:rsidR="00BB63CE">
        <w:rPr>
          <w:sz w:val="21"/>
          <w:szCs w:val="21"/>
        </w:rPr>
        <w:t>u</w:t>
      </w:r>
      <w:r w:rsidRPr="00340F6A">
        <w:rPr>
          <w:sz w:val="21"/>
          <w:szCs w:val="21"/>
        </w:rPr>
        <w:t xml:space="preserve">ring hotels </w:t>
      </w:r>
      <w:r w:rsidR="00BB63CE">
        <w:rPr>
          <w:sz w:val="21"/>
          <w:szCs w:val="21"/>
        </w:rPr>
        <w:t xml:space="preserve">and serviced apartments </w:t>
      </w:r>
      <w:r w:rsidRPr="00340F6A">
        <w:rPr>
          <w:sz w:val="21"/>
          <w:szCs w:val="21"/>
        </w:rPr>
        <w:t xml:space="preserve">over short-term </w:t>
      </w:r>
      <w:proofErr w:type="gramStart"/>
      <w:r w:rsidRPr="00340F6A">
        <w:rPr>
          <w:sz w:val="21"/>
          <w:szCs w:val="21"/>
        </w:rPr>
        <w:t>lets</w:t>
      </w:r>
      <w:proofErr w:type="gramEnd"/>
      <w:r w:rsidRPr="00340F6A">
        <w:rPr>
          <w:sz w:val="21"/>
          <w:szCs w:val="21"/>
        </w:rPr>
        <w:t xml:space="preserve"> might hinder the growth of this segment of the tourism industry.</w:t>
      </w:r>
    </w:p>
    <w:p w14:paraId="17725ABF" w14:textId="1E3AE038" w:rsidR="00340F6A" w:rsidRDefault="00340F6A" w:rsidP="00340F6A">
      <w:pPr>
        <w:rPr>
          <w:sz w:val="21"/>
          <w:szCs w:val="21"/>
        </w:rPr>
      </w:pPr>
      <w:r w:rsidRPr="00BB63CE">
        <w:rPr>
          <w:b/>
          <w:sz w:val="21"/>
          <w:szCs w:val="21"/>
        </w:rPr>
        <w:t>7. Consideration of Public Interest:</w:t>
      </w:r>
      <w:r w:rsidRPr="00340F6A">
        <w:rPr>
          <w:sz w:val="21"/>
          <w:szCs w:val="21"/>
        </w:rPr>
        <w:t xml:space="preserve"> While local authorities may have legitimate reasons for regulating short-term lets, such as concerns about </w:t>
      </w:r>
      <w:r w:rsidR="00BB63CE">
        <w:rPr>
          <w:sz w:val="21"/>
          <w:szCs w:val="21"/>
        </w:rPr>
        <w:t xml:space="preserve">health &amp; safety, </w:t>
      </w:r>
      <w:r w:rsidRPr="00340F6A">
        <w:rPr>
          <w:sz w:val="21"/>
          <w:szCs w:val="21"/>
        </w:rPr>
        <w:t>housing availability or community impact, they must carefully balance these considerations with competition laws and avoid unjustifiably favo</w:t>
      </w:r>
      <w:r w:rsidR="00BB63CE">
        <w:rPr>
          <w:sz w:val="21"/>
          <w:szCs w:val="21"/>
        </w:rPr>
        <w:t>u</w:t>
      </w:r>
      <w:r w:rsidRPr="00340F6A">
        <w:rPr>
          <w:sz w:val="21"/>
          <w:szCs w:val="21"/>
        </w:rPr>
        <w:t>ring one sector at the expense of another.</w:t>
      </w:r>
    </w:p>
    <w:p w14:paraId="53B8786B" w14:textId="77777777" w:rsidR="00BB63CE" w:rsidRPr="00340F6A" w:rsidRDefault="00BB63CE" w:rsidP="00340F6A">
      <w:pPr>
        <w:rPr>
          <w:sz w:val="21"/>
          <w:szCs w:val="21"/>
        </w:rPr>
      </w:pPr>
    </w:p>
    <w:p w14:paraId="5AAF7076" w14:textId="67ACA1F1" w:rsidR="00340F6A" w:rsidRDefault="00BB63CE" w:rsidP="00340F6A">
      <w:pPr>
        <w:rPr>
          <w:sz w:val="21"/>
          <w:szCs w:val="21"/>
        </w:rPr>
      </w:pPr>
      <w:r>
        <w:rPr>
          <w:sz w:val="21"/>
          <w:szCs w:val="21"/>
        </w:rPr>
        <w:t>L</w:t>
      </w:r>
      <w:r w:rsidR="00340F6A" w:rsidRPr="00340F6A">
        <w:rPr>
          <w:sz w:val="21"/>
          <w:szCs w:val="21"/>
        </w:rPr>
        <w:t>ocal authorities in Scotland, like any governing body, must be cautious in their approach to regulating the accommodation market. They should ensure that any policies or regulations they implement do not unfairly favo</w:t>
      </w:r>
      <w:r>
        <w:rPr>
          <w:sz w:val="21"/>
          <w:szCs w:val="21"/>
        </w:rPr>
        <w:t>u</w:t>
      </w:r>
      <w:r w:rsidR="00340F6A" w:rsidRPr="00340F6A">
        <w:rPr>
          <w:sz w:val="21"/>
          <w:szCs w:val="21"/>
        </w:rPr>
        <w:t xml:space="preserve">r hotels </w:t>
      </w:r>
      <w:r>
        <w:rPr>
          <w:sz w:val="21"/>
          <w:szCs w:val="21"/>
        </w:rPr>
        <w:t xml:space="preserve">or serviced apartments </w:t>
      </w:r>
      <w:r w:rsidR="00340F6A" w:rsidRPr="00340F6A">
        <w:rPr>
          <w:sz w:val="21"/>
          <w:szCs w:val="21"/>
        </w:rPr>
        <w:t>over short-term lets in a way that violates competition laws or inhibits fair competition. Instead, they should seek to create a level playing field that encourages healthy competition and benefits consumers while also addressing any legitimate concerns related to short-term lettings</w:t>
      </w:r>
      <w:r>
        <w:rPr>
          <w:sz w:val="21"/>
          <w:szCs w:val="21"/>
        </w:rPr>
        <w:t xml:space="preserve"> or other accommodation types</w:t>
      </w:r>
      <w:r w:rsidR="00340F6A" w:rsidRPr="00340F6A">
        <w:rPr>
          <w:sz w:val="21"/>
          <w:szCs w:val="21"/>
        </w:rPr>
        <w:t>.</w:t>
      </w:r>
    </w:p>
    <w:p w14:paraId="2F13BD7C" w14:textId="77777777" w:rsidR="007E2D2A" w:rsidRDefault="002416C3" w:rsidP="002416C3">
      <w:pPr>
        <w:pStyle w:val="NormalWeb"/>
        <w:rPr>
          <w:rFonts w:asciiTheme="minorHAnsi" w:hAnsiTheme="minorHAnsi" w:cstheme="minorHAnsi"/>
          <w:b/>
          <w:sz w:val="21"/>
          <w:szCs w:val="21"/>
          <w:u w:val="single"/>
        </w:rPr>
      </w:pPr>
      <w:r w:rsidRPr="002416C3">
        <w:rPr>
          <w:rFonts w:asciiTheme="minorHAnsi" w:hAnsiTheme="minorHAnsi" w:cstheme="minorHAnsi"/>
          <w:b/>
          <w:sz w:val="21"/>
          <w:szCs w:val="21"/>
          <w:u w:val="single"/>
        </w:rPr>
        <w:t>Scottish Government’s Business Regulatory Impact Assessment</w:t>
      </w:r>
      <w:r w:rsidRPr="002416C3">
        <w:rPr>
          <w:rFonts w:asciiTheme="minorHAnsi" w:hAnsiTheme="minorHAnsi" w:cstheme="minorHAnsi"/>
          <w:b/>
          <w:sz w:val="21"/>
          <w:szCs w:val="21"/>
          <w:u w:val="single"/>
        </w:rPr>
        <w:t xml:space="preserve"> </w:t>
      </w:r>
    </w:p>
    <w:p w14:paraId="4CFB8CF2" w14:textId="7703CBA3" w:rsidR="00304DDA" w:rsidRDefault="00B8617B" w:rsidP="002416C3">
      <w:pPr>
        <w:pStyle w:val="NormalWeb"/>
        <w:rPr>
          <w:rFonts w:asciiTheme="minorHAnsi" w:hAnsiTheme="minorHAnsi" w:cstheme="minorHAnsi"/>
          <w:b/>
          <w:bCs/>
        </w:rPr>
      </w:pPr>
      <w:r w:rsidRPr="002416C3">
        <w:rPr>
          <w:rFonts w:asciiTheme="minorHAnsi" w:hAnsiTheme="minorHAnsi" w:cstheme="minorHAnsi"/>
          <w:sz w:val="21"/>
          <w:szCs w:val="21"/>
        </w:rPr>
        <w:t>The Scottish Government’s Business Regulatory Impact Assessment references in the Competition Assessment section, that “</w:t>
      </w:r>
      <w:r w:rsidR="008C245C" w:rsidRPr="002416C3">
        <w:rPr>
          <w:rFonts w:asciiTheme="minorHAnsi" w:hAnsiTheme="minorHAnsi" w:cstheme="minorHAnsi"/>
          <w:i/>
          <w:sz w:val="21"/>
          <w:szCs w:val="21"/>
        </w:rPr>
        <w:t xml:space="preserve">In some areas, local authorities may choose to implement control areas </w:t>
      </w:r>
      <w:r w:rsidR="008C245C" w:rsidRPr="002416C3">
        <w:rPr>
          <w:rFonts w:asciiTheme="minorHAnsi" w:hAnsiTheme="minorHAnsi" w:cstheme="minorHAnsi"/>
          <w:i/>
          <w:sz w:val="21"/>
          <w:szCs w:val="21"/>
        </w:rPr>
        <w:lastRenderedPageBreak/>
        <w:t>specifically to reduce the number or manage the growth of short-term lets and this could be expected to increase demand for hotel accommodation in these areas.</w:t>
      </w:r>
      <w:r w:rsidR="00232868" w:rsidRPr="002416C3">
        <w:rPr>
          <w:rFonts w:asciiTheme="minorHAnsi" w:hAnsiTheme="minorHAnsi" w:cstheme="minorHAnsi"/>
          <w:i/>
          <w:sz w:val="21"/>
          <w:szCs w:val="21"/>
        </w:rPr>
        <w:t>”</w:t>
      </w:r>
      <w:r w:rsidR="00232868" w:rsidRPr="002416C3">
        <w:rPr>
          <w:rStyle w:val="FootnoteReference"/>
          <w:rFonts w:asciiTheme="minorHAnsi" w:hAnsiTheme="minorHAnsi" w:cstheme="minorHAnsi"/>
          <w:i/>
          <w:sz w:val="21"/>
          <w:szCs w:val="21"/>
        </w:rPr>
        <w:footnoteReference w:id="1"/>
      </w:r>
      <w:r w:rsidR="008C245C" w:rsidRPr="002416C3">
        <w:rPr>
          <w:rFonts w:asciiTheme="minorHAnsi" w:hAnsiTheme="minorHAnsi" w:cstheme="minorHAnsi"/>
          <w:i/>
          <w:sz w:val="21"/>
          <w:szCs w:val="21"/>
        </w:rPr>
        <w:t xml:space="preserve"> </w:t>
      </w:r>
      <w:r w:rsidRPr="002416C3">
        <w:rPr>
          <w:rFonts w:asciiTheme="minorHAnsi" w:hAnsiTheme="minorHAnsi" w:cstheme="minorHAnsi"/>
          <w:sz w:val="21"/>
          <w:szCs w:val="21"/>
        </w:rPr>
        <w:t>A result of this</w:t>
      </w:r>
      <w:r w:rsidR="00BA4ACF" w:rsidRPr="002416C3">
        <w:rPr>
          <w:rFonts w:asciiTheme="minorHAnsi" w:hAnsiTheme="minorHAnsi" w:cstheme="minorHAnsi"/>
          <w:sz w:val="21"/>
          <w:szCs w:val="21"/>
        </w:rPr>
        <w:t>, it refers back to the same paragraph and notes</w:t>
      </w:r>
      <w:r w:rsidRPr="002416C3">
        <w:rPr>
          <w:rFonts w:asciiTheme="minorHAnsi" w:hAnsiTheme="minorHAnsi" w:cstheme="minorHAnsi"/>
          <w:sz w:val="21"/>
          <w:szCs w:val="21"/>
        </w:rPr>
        <w:t xml:space="preserve">: </w:t>
      </w:r>
      <w:r w:rsidRPr="002416C3">
        <w:rPr>
          <w:rFonts w:asciiTheme="minorHAnsi" w:hAnsiTheme="minorHAnsi" w:cstheme="minorHAnsi"/>
          <w:i/>
          <w:sz w:val="21"/>
          <w:szCs w:val="21"/>
        </w:rPr>
        <w:t>“</w:t>
      </w:r>
      <w:r w:rsidRPr="002416C3">
        <w:rPr>
          <w:rFonts w:asciiTheme="minorHAnsi" w:hAnsiTheme="minorHAnsi" w:cstheme="minorHAnsi"/>
          <w:i/>
          <w:sz w:val="21"/>
          <w:szCs w:val="21"/>
        </w:rPr>
        <w:t xml:space="preserve">Will the proposal indirectly limit the number or range of suppliers? </w:t>
      </w:r>
      <w:r w:rsidRPr="002416C3">
        <w:rPr>
          <w:rFonts w:asciiTheme="minorHAnsi" w:hAnsiTheme="minorHAnsi" w:cstheme="minorHAnsi"/>
          <w:b/>
          <w:bCs/>
          <w:i/>
          <w:sz w:val="21"/>
          <w:szCs w:val="21"/>
        </w:rPr>
        <w:t>Yes</w:t>
      </w:r>
      <w:r w:rsidRPr="002416C3">
        <w:rPr>
          <w:rFonts w:asciiTheme="minorHAnsi" w:hAnsiTheme="minorHAnsi" w:cstheme="minorHAnsi"/>
          <w:b/>
          <w:bCs/>
          <w:i/>
          <w:sz w:val="21"/>
          <w:szCs w:val="21"/>
        </w:rPr>
        <w:t>”</w:t>
      </w:r>
      <w:r w:rsidRPr="002416C3">
        <w:rPr>
          <w:rFonts w:asciiTheme="minorHAnsi" w:hAnsiTheme="minorHAnsi" w:cstheme="minorHAnsi"/>
          <w:b/>
          <w:bCs/>
        </w:rPr>
        <w:t xml:space="preserve"> </w:t>
      </w:r>
    </w:p>
    <w:p w14:paraId="3C2060A7" w14:textId="2B760E8A" w:rsidR="00E30A5D" w:rsidRPr="007E709E" w:rsidRDefault="00304DDA" w:rsidP="00E30A5D">
      <w:pPr>
        <w:pStyle w:val="NormalWeb"/>
        <w:shd w:val="clear" w:color="auto" w:fill="FFFFFF"/>
        <w:rPr>
          <w:rFonts w:asciiTheme="minorHAnsi" w:hAnsiTheme="minorHAnsi" w:cstheme="minorHAnsi"/>
          <w:sz w:val="21"/>
          <w:szCs w:val="21"/>
        </w:rPr>
      </w:pPr>
      <w:r w:rsidRPr="007E709E">
        <w:rPr>
          <w:rFonts w:asciiTheme="minorHAnsi" w:hAnsiTheme="minorHAnsi" w:cstheme="minorHAnsi"/>
          <w:b/>
          <w:bCs/>
          <w:sz w:val="21"/>
          <w:szCs w:val="21"/>
        </w:rPr>
        <w:t>One of the benefits cited</w:t>
      </w:r>
      <w:r w:rsidR="00E30A5D" w:rsidRPr="007E709E">
        <w:rPr>
          <w:rFonts w:asciiTheme="minorHAnsi" w:hAnsiTheme="minorHAnsi" w:cstheme="minorHAnsi"/>
          <w:b/>
          <w:bCs/>
          <w:sz w:val="21"/>
          <w:szCs w:val="21"/>
        </w:rPr>
        <w:t xml:space="preserve"> for </w:t>
      </w:r>
      <w:r w:rsidR="00E30A5D" w:rsidRPr="007E709E">
        <w:rPr>
          <w:rFonts w:asciiTheme="minorHAnsi" w:hAnsiTheme="minorHAnsi" w:cstheme="minorHAnsi"/>
          <w:b/>
          <w:bCs/>
          <w:i/>
          <w:sz w:val="21"/>
          <w:szCs w:val="21"/>
        </w:rPr>
        <w:t>“</w:t>
      </w:r>
      <w:r w:rsidR="00E30A5D" w:rsidRPr="007E709E">
        <w:rPr>
          <w:rFonts w:asciiTheme="minorHAnsi" w:hAnsiTheme="minorHAnsi" w:cstheme="minorHAnsi"/>
          <w:i/>
          <w:sz w:val="21"/>
          <w:szCs w:val="21"/>
        </w:rPr>
        <w:t>Other hospitality (e.g. hotels and premises licensed under the Licensing (Scotland) Act 2005 to provide accommodation”</w:t>
      </w:r>
      <w:r w:rsidR="00E30A5D" w:rsidRPr="007E709E">
        <w:rPr>
          <w:rFonts w:asciiTheme="minorHAnsi" w:hAnsiTheme="minorHAnsi" w:cstheme="minorHAnsi"/>
          <w:sz w:val="21"/>
          <w:szCs w:val="21"/>
        </w:rPr>
        <w:t xml:space="preserve"> is </w:t>
      </w:r>
      <w:r w:rsidR="00E30A5D" w:rsidRPr="007E709E">
        <w:rPr>
          <w:rFonts w:asciiTheme="minorHAnsi" w:hAnsiTheme="minorHAnsi" w:cstheme="minorHAnsi"/>
          <w:i/>
          <w:sz w:val="21"/>
          <w:szCs w:val="21"/>
        </w:rPr>
        <w:t>“</w:t>
      </w:r>
      <w:r w:rsidR="00E30A5D" w:rsidRPr="007E709E">
        <w:rPr>
          <w:rFonts w:asciiTheme="minorHAnsi" w:hAnsiTheme="minorHAnsi" w:cstheme="minorHAnsi"/>
          <w:i/>
          <w:sz w:val="21"/>
          <w:szCs w:val="21"/>
        </w:rPr>
        <w:t>Increased business in some areas if availability of short-term let accommodation reduces</w:t>
      </w:r>
      <w:r w:rsidR="00E30A5D" w:rsidRPr="007E709E">
        <w:rPr>
          <w:rFonts w:asciiTheme="minorHAnsi" w:hAnsiTheme="minorHAnsi" w:cstheme="minorHAnsi"/>
          <w:i/>
          <w:sz w:val="21"/>
          <w:szCs w:val="21"/>
        </w:rPr>
        <w:t>”.</w:t>
      </w:r>
      <w:r w:rsidR="00E30A5D" w:rsidRPr="007E709E">
        <w:rPr>
          <w:rStyle w:val="FootnoteReference"/>
          <w:rFonts w:asciiTheme="minorHAnsi" w:hAnsiTheme="minorHAnsi" w:cstheme="minorHAnsi"/>
          <w:i/>
          <w:sz w:val="21"/>
          <w:szCs w:val="21"/>
        </w:rPr>
        <w:footnoteReference w:id="2"/>
      </w:r>
    </w:p>
    <w:p w14:paraId="61B37837" w14:textId="2D7300B0" w:rsidR="00304DDA" w:rsidRDefault="00304DDA" w:rsidP="00304DDA">
      <w:pPr>
        <w:rPr>
          <w:b/>
          <w:color w:val="222222"/>
          <w:sz w:val="21"/>
          <w:szCs w:val="21"/>
        </w:rPr>
      </w:pPr>
      <w:r w:rsidRPr="00304DDA">
        <w:rPr>
          <w:sz w:val="21"/>
          <w:szCs w:val="21"/>
        </w:rPr>
        <w:t xml:space="preserve">It is clear that the 2022 Licensing Order is intended to </w:t>
      </w:r>
      <w:r w:rsidRPr="00304DDA">
        <w:rPr>
          <w:b/>
          <w:sz w:val="21"/>
          <w:szCs w:val="21"/>
        </w:rPr>
        <w:t xml:space="preserve">actively shrink the self-catering industry </w:t>
      </w:r>
      <w:r w:rsidRPr="00304DDA">
        <w:rPr>
          <w:sz w:val="21"/>
          <w:szCs w:val="21"/>
        </w:rPr>
        <w:t>in Scotland</w:t>
      </w:r>
      <w:r>
        <w:rPr>
          <w:sz w:val="21"/>
          <w:szCs w:val="21"/>
        </w:rPr>
        <w:t>, which could be in breach of Competition Law</w:t>
      </w:r>
      <w:r w:rsidRPr="00304DDA">
        <w:rPr>
          <w:b/>
          <w:sz w:val="21"/>
          <w:szCs w:val="21"/>
        </w:rPr>
        <w:t>.</w:t>
      </w:r>
      <w:r w:rsidRPr="00304DDA">
        <w:rPr>
          <w:sz w:val="21"/>
          <w:szCs w:val="21"/>
        </w:rPr>
        <w:t xml:space="preserve"> </w:t>
      </w:r>
      <w:r w:rsidRPr="00304DDA">
        <w:rPr>
          <w:sz w:val="21"/>
          <w:szCs w:val="21"/>
        </w:rPr>
        <w:t>This</w:t>
      </w:r>
      <w:r w:rsidRPr="00304DDA">
        <w:rPr>
          <w:sz w:val="21"/>
          <w:szCs w:val="21"/>
        </w:rPr>
        <w:t xml:space="preserve"> intention </w:t>
      </w:r>
      <w:r w:rsidRPr="00304DDA">
        <w:rPr>
          <w:sz w:val="21"/>
          <w:szCs w:val="21"/>
        </w:rPr>
        <w:t xml:space="preserve">was </w:t>
      </w:r>
      <w:r w:rsidRPr="00304DDA">
        <w:rPr>
          <w:sz w:val="21"/>
          <w:szCs w:val="21"/>
        </w:rPr>
        <w:t>very clearly laid out in an opinion given by Mr Tony Cain in evidence before the L</w:t>
      </w:r>
      <w:r w:rsidRPr="00304DDA">
        <w:rPr>
          <w:sz w:val="21"/>
          <w:szCs w:val="21"/>
        </w:rPr>
        <w:t xml:space="preserve">ocal Government Housing and Planning Committee </w:t>
      </w:r>
      <w:r w:rsidRPr="00304DDA">
        <w:rPr>
          <w:sz w:val="21"/>
          <w:szCs w:val="21"/>
        </w:rPr>
        <w:t>on 14 December 2021 in response to a question from t</w:t>
      </w:r>
      <w:r w:rsidRPr="00304DDA">
        <w:rPr>
          <w:sz w:val="21"/>
          <w:szCs w:val="21"/>
        </w:rPr>
        <w:t xml:space="preserve">he </w:t>
      </w:r>
      <w:r w:rsidRPr="00304DDA">
        <w:rPr>
          <w:sz w:val="21"/>
          <w:szCs w:val="21"/>
        </w:rPr>
        <w:t>Convener</w:t>
      </w:r>
      <w:r w:rsidRPr="00304DDA">
        <w:rPr>
          <w:sz w:val="21"/>
          <w:szCs w:val="21"/>
        </w:rPr>
        <w:t xml:space="preserve">, </w:t>
      </w:r>
      <w:r w:rsidRPr="00304DDA">
        <w:rPr>
          <w:b/>
          <w:color w:val="222222"/>
          <w:sz w:val="21"/>
          <w:szCs w:val="21"/>
        </w:rPr>
        <w:t>Ariane Burgess "What would we need to do to manage down the levels of STLs?"</w:t>
      </w:r>
    </w:p>
    <w:p w14:paraId="2FEE283F" w14:textId="5E8AB73A" w:rsidR="000E21A1" w:rsidRDefault="000E21A1" w:rsidP="00304DDA">
      <w:pPr>
        <w:rPr>
          <w:b/>
          <w:color w:val="222222"/>
          <w:sz w:val="21"/>
          <w:szCs w:val="21"/>
        </w:rPr>
      </w:pPr>
    </w:p>
    <w:p w14:paraId="137C533E" w14:textId="4C5ADB5E" w:rsidR="00135E7C" w:rsidRPr="00135E7C" w:rsidRDefault="00135E7C" w:rsidP="00135E7C">
      <w:pPr>
        <w:shd w:val="clear" w:color="auto" w:fill="FFFFFF"/>
        <w:outlineLvl w:val="0"/>
        <w:rPr>
          <w:rFonts w:eastAsia="Times New Roman" w:cstheme="minorHAnsi"/>
          <w:b/>
          <w:bCs/>
          <w:color w:val="404040"/>
          <w:kern w:val="36"/>
          <w:sz w:val="21"/>
          <w:szCs w:val="21"/>
        </w:rPr>
      </w:pPr>
      <w:hyperlink r:id="rId8" w:history="1">
        <w:r w:rsidRPr="00135E7C">
          <w:rPr>
            <w:rStyle w:val="Hyperlink"/>
            <w:rFonts w:eastAsia="Times New Roman" w:cstheme="minorHAnsi"/>
            <w:b/>
            <w:bCs/>
            <w:kern w:val="36"/>
            <w:sz w:val="21"/>
            <w:szCs w:val="21"/>
          </w:rPr>
          <w:t>How big business made a mockery of the Scottish Government’s short term let crackdown</w:t>
        </w:r>
      </w:hyperlink>
    </w:p>
    <w:p w14:paraId="61A48D12" w14:textId="77777777" w:rsidR="00867F47" w:rsidRPr="00340F6A" w:rsidRDefault="00867F47" w:rsidP="00E228AC">
      <w:pPr>
        <w:rPr>
          <w:sz w:val="21"/>
          <w:szCs w:val="21"/>
        </w:rPr>
      </w:pPr>
    </w:p>
    <w:p w14:paraId="36844905" w14:textId="25FFB582" w:rsidR="006D77E7" w:rsidRPr="00340F6A" w:rsidRDefault="006D77E7" w:rsidP="00F73A32">
      <w:pPr>
        <w:rPr>
          <w:rFonts w:ascii="Calibri" w:hAnsi="Calibri" w:cs="Calibri"/>
          <w:color w:val="000000"/>
          <w:sz w:val="21"/>
          <w:szCs w:val="21"/>
        </w:rPr>
      </w:pPr>
      <w:r w:rsidRPr="00340F6A">
        <w:rPr>
          <w:rFonts w:ascii="Calibri" w:hAnsi="Calibri" w:cs="Calibri"/>
          <w:color w:val="000000"/>
          <w:sz w:val="21"/>
          <w:szCs w:val="21"/>
        </w:rPr>
        <w:t>22</w:t>
      </w:r>
      <w:r w:rsidRPr="00340F6A">
        <w:rPr>
          <w:rFonts w:ascii="Calibri" w:hAnsi="Calibri" w:cs="Calibri"/>
          <w:color w:val="000000"/>
          <w:sz w:val="21"/>
          <w:szCs w:val="21"/>
          <w:vertAlign w:val="superscript"/>
        </w:rPr>
        <w:t>nd</w:t>
      </w:r>
      <w:r w:rsidRPr="00340F6A">
        <w:rPr>
          <w:rFonts w:ascii="Calibri" w:hAnsi="Calibri" w:cs="Calibri"/>
          <w:color w:val="000000"/>
          <w:sz w:val="21"/>
          <w:szCs w:val="21"/>
        </w:rPr>
        <w:t xml:space="preserve"> July 2023</w:t>
      </w:r>
    </w:p>
    <w:p w14:paraId="5DE30EDF" w14:textId="6ABE6843" w:rsidR="00406D7A" w:rsidRDefault="00406D7A" w:rsidP="00F73A32">
      <w:pPr>
        <w:rPr>
          <w:rFonts w:ascii="Calibri" w:hAnsi="Calibri" w:cs="Calibri"/>
          <w:color w:val="000000"/>
          <w:sz w:val="21"/>
          <w:szCs w:val="21"/>
        </w:rPr>
      </w:pPr>
    </w:p>
    <w:p w14:paraId="25B2B7B8" w14:textId="543EDE77" w:rsidR="00406D7A" w:rsidRDefault="00406D7A" w:rsidP="00F73A32">
      <w:pPr>
        <w:rPr>
          <w:rFonts w:ascii="Calibri" w:hAnsi="Calibri" w:cs="Calibri"/>
          <w:color w:val="000000"/>
          <w:sz w:val="21"/>
          <w:szCs w:val="21"/>
        </w:rPr>
      </w:pPr>
    </w:p>
    <w:p w14:paraId="0AE96628" w14:textId="3700C7BA" w:rsidR="00406D7A" w:rsidRDefault="00406D7A" w:rsidP="00F73A32">
      <w:pPr>
        <w:rPr>
          <w:rFonts w:ascii="Calibri" w:hAnsi="Calibri" w:cs="Calibri"/>
          <w:color w:val="000000"/>
          <w:sz w:val="21"/>
          <w:szCs w:val="21"/>
        </w:rPr>
      </w:pPr>
    </w:p>
    <w:p w14:paraId="67DE88F1" w14:textId="77777777" w:rsidR="00406D7A" w:rsidRPr="00406D7A" w:rsidRDefault="00406D7A" w:rsidP="00406D7A">
      <w:pPr>
        <w:rPr>
          <w:sz w:val="21"/>
          <w:szCs w:val="21"/>
        </w:rPr>
      </w:pPr>
    </w:p>
    <w:p w14:paraId="5EC70BB6" w14:textId="77777777" w:rsidR="00406D7A" w:rsidRPr="00406D7A" w:rsidRDefault="00406D7A" w:rsidP="00406D7A"/>
    <w:p w14:paraId="55A33E8C" w14:textId="77777777" w:rsidR="00124DF8" w:rsidRDefault="00124DF8"/>
    <w:sectPr w:rsidR="00124DF8" w:rsidSect="000E7DA1">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68947F" w14:textId="77777777" w:rsidR="002A1E7C" w:rsidRDefault="002A1E7C" w:rsidP="00867F47">
      <w:r>
        <w:separator/>
      </w:r>
    </w:p>
  </w:endnote>
  <w:endnote w:type="continuationSeparator" w:id="0">
    <w:p w14:paraId="2B2080F0" w14:textId="77777777" w:rsidR="002A1E7C" w:rsidRDefault="002A1E7C" w:rsidP="00867F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1E2105" w14:textId="77777777" w:rsidR="002A1E7C" w:rsidRDefault="002A1E7C" w:rsidP="00867F47">
      <w:r>
        <w:separator/>
      </w:r>
    </w:p>
  </w:footnote>
  <w:footnote w:type="continuationSeparator" w:id="0">
    <w:p w14:paraId="15CF4AE0" w14:textId="77777777" w:rsidR="002A1E7C" w:rsidRDefault="002A1E7C" w:rsidP="00867F47">
      <w:r>
        <w:continuationSeparator/>
      </w:r>
    </w:p>
  </w:footnote>
  <w:footnote w:id="1">
    <w:p w14:paraId="15ABDEEE" w14:textId="79AA8423" w:rsidR="00232868" w:rsidRPr="00BB7A87" w:rsidRDefault="00232868">
      <w:pPr>
        <w:pStyle w:val="FootnoteText"/>
        <w:rPr>
          <w:sz w:val="18"/>
          <w:szCs w:val="18"/>
        </w:rPr>
      </w:pPr>
      <w:r w:rsidRPr="00BB7A87">
        <w:rPr>
          <w:rStyle w:val="FootnoteReference"/>
          <w:sz w:val="18"/>
          <w:szCs w:val="18"/>
        </w:rPr>
        <w:footnoteRef/>
      </w:r>
      <w:r w:rsidRPr="00BB7A87">
        <w:rPr>
          <w:sz w:val="18"/>
          <w:szCs w:val="18"/>
        </w:rPr>
        <w:t xml:space="preserve"> </w:t>
      </w:r>
      <w:hyperlink r:id="rId1" w:history="1">
        <w:r w:rsidRPr="00BB7A87">
          <w:rPr>
            <w:rStyle w:val="Hyperlink"/>
            <w:sz w:val="18"/>
            <w:szCs w:val="18"/>
          </w:rPr>
          <w:t>Scottish Government BRIA</w:t>
        </w:r>
      </w:hyperlink>
      <w:r w:rsidRPr="00BB7A87">
        <w:rPr>
          <w:sz w:val="18"/>
          <w:szCs w:val="18"/>
        </w:rPr>
        <w:t>, page 65</w:t>
      </w:r>
      <w:r w:rsidR="00B8617B" w:rsidRPr="00BB7A87">
        <w:rPr>
          <w:sz w:val="18"/>
          <w:szCs w:val="18"/>
        </w:rPr>
        <w:t>, paragraph 195</w:t>
      </w:r>
    </w:p>
  </w:footnote>
  <w:footnote w:id="2">
    <w:p w14:paraId="6D6D23BE" w14:textId="7F39617A" w:rsidR="00E30A5D" w:rsidRDefault="00E30A5D">
      <w:pPr>
        <w:pStyle w:val="FootnoteText"/>
      </w:pPr>
      <w:r w:rsidRPr="00BB7A87">
        <w:rPr>
          <w:rStyle w:val="FootnoteReference"/>
          <w:sz w:val="18"/>
          <w:szCs w:val="18"/>
        </w:rPr>
        <w:footnoteRef/>
      </w:r>
      <w:r w:rsidRPr="00BB7A87">
        <w:rPr>
          <w:sz w:val="18"/>
          <w:szCs w:val="18"/>
        </w:rPr>
        <w:t xml:space="preserve"> </w:t>
      </w:r>
      <w:hyperlink r:id="rId2" w:history="1">
        <w:r w:rsidRPr="00BB7A87">
          <w:rPr>
            <w:rStyle w:val="Hyperlink"/>
            <w:sz w:val="18"/>
            <w:szCs w:val="18"/>
          </w:rPr>
          <w:t>Scottish Government BRIA</w:t>
        </w:r>
      </w:hyperlink>
      <w:r w:rsidRPr="00BB7A87">
        <w:rPr>
          <w:sz w:val="18"/>
          <w:szCs w:val="18"/>
        </w:rPr>
        <w:t xml:space="preserve">, page </w:t>
      </w:r>
      <w:r>
        <w:rPr>
          <w:sz w:val="18"/>
          <w:szCs w:val="18"/>
        </w:rPr>
        <w:t>31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585FA1"/>
    <w:multiLevelType w:val="hybridMultilevel"/>
    <w:tmpl w:val="0B401956"/>
    <w:lvl w:ilvl="0" w:tplc="5302D656">
      <w:start w:val="1"/>
      <w:numFmt w:val="bullet"/>
      <w:lvlText w:val=""/>
      <w:lvlJc w:val="left"/>
      <w:pPr>
        <w:ind w:left="360" w:hanging="360"/>
      </w:pPr>
      <w:rPr>
        <w:rFonts w:ascii="Symbol" w:hAnsi="Symbol" w:hint="default"/>
        <w:color w:val="auto"/>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203A033F"/>
    <w:multiLevelType w:val="hybridMultilevel"/>
    <w:tmpl w:val="6EB69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3E2761"/>
    <w:multiLevelType w:val="multilevel"/>
    <w:tmpl w:val="C3040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671665D"/>
    <w:multiLevelType w:val="multilevel"/>
    <w:tmpl w:val="8A30BA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7DF57BE"/>
    <w:multiLevelType w:val="hybridMultilevel"/>
    <w:tmpl w:val="CEC87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511A0B"/>
    <w:multiLevelType w:val="multilevel"/>
    <w:tmpl w:val="ACE69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CBD7109"/>
    <w:multiLevelType w:val="multilevel"/>
    <w:tmpl w:val="65AAC9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1896B76"/>
    <w:multiLevelType w:val="hybridMultilevel"/>
    <w:tmpl w:val="B2D420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EAA0DEE"/>
    <w:multiLevelType w:val="multilevel"/>
    <w:tmpl w:val="2F403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4797B21"/>
    <w:multiLevelType w:val="hybridMultilevel"/>
    <w:tmpl w:val="FCE2F00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6041112"/>
    <w:multiLevelType w:val="multilevel"/>
    <w:tmpl w:val="1D14FB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0C35B7C"/>
    <w:multiLevelType w:val="hybridMultilevel"/>
    <w:tmpl w:val="C7A21F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D011C3F"/>
    <w:multiLevelType w:val="multilevel"/>
    <w:tmpl w:val="A85EBC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BB345EA"/>
    <w:multiLevelType w:val="multilevel"/>
    <w:tmpl w:val="B866932C"/>
    <w:lvl w:ilvl="0">
      <w:start w:val="19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0"/>
  </w:num>
  <w:num w:numId="2">
    <w:abstractNumId w:val="11"/>
  </w:num>
  <w:num w:numId="3">
    <w:abstractNumId w:val="12"/>
  </w:num>
  <w:num w:numId="4">
    <w:abstractNumId w:val="1"/>
  </w:num>
  <w:num w:numId="5">
    <w:abstractNumId w:val="9"/>
  </w:num>
  <w:num w:numId="6">
    <w:abstractNumId w:val="3"/>
  </w:num>
  <w:num w:numId="7">
    <w:abstractNumId w:val="0"/>
  </w:num>
  <w:num w:numId="8">
    <w:abstractNumId w:val="2"/>
  </w:num>
  <w:num w:numId="9">
    <w:abstractNumId w:val="4"/>
  </w:num>
  <w:num w:numId="10">
    <w:abstractNumId w:val="8"/>
  </w:num>
  <w:num w:numId="11">
    <w:abstractNumId w:val="7"/>
  </w:num>
  <w:num w:numId="12">
    <w:abstractNumId w:val="13"/>
  </w:num>
  <w:num w:numId="13">
    <w:abstractNumId w:val="6"/>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28AC"/>
    <w:rsid w:val="000105CC"/>
    <w:rsid w:val="00071A25"/>
    <w:rsid w:val="000801A4"/>
    <w:rsid w:val="000E21A1"/>
    <w:rsid w:val="000E7DA1"/>
    <w:rsid w:val="000F2FCE"/>
    <w:rsid w:val="00124DF8"/>
    <w:rsid w:val="00135E7C"/>
    <w:rsid w:val="001744D1"/>
    <w:rsid w:val="00180745"/>
    <w:rsid w:val="0018427D"/>
    <w:rsid w:val="00232868"/>
    <w:rsid w:val="002416C3"/>
    <w:rsid w:val="002513CB"/>
    <w:rsid w:val="00291FD0"/>
    <w:rsid w:val="002A1E7C"/>
    <w:rsid w:val="00304DDA"/>
    <w:rsid w:val="00332740"/>
    <w:rsid w:val="00340F6A"/>
    <w:rsid w:val="00376F15"/>
    <w:rsid w:val="003E5AA1"/>
    <w:rsid w:val="003F19A0"/>
    <w:rsid w:val="00406D7A"/>
    <w:rsid w:val="004426AC"/>
    <w:rsid w:val="00487A84"/>
    <w:rsid w:val="005E6706"/>
    <w:rsid w:val="006521C5"/>
    <w:rsid w:val="00654D51"/>
    <w:rsid w:val="00686CE8"/>
    <w:rsid w:val="006872C2"/>
    <w:rsid w:val="006B4023"/>
    <w:rsid w:val="006D77E7"/>
    <w:rsid w:val="007547BA"/>
    <w:rsid w:val="00795124"/>
    <w:rsid w:val="007E2D2A"/>
    <w:rsid w:val="007E709E"/>
    <w:rsid w:val="007F2CBF"/>
    <w:rsid w:val="00851435"/>
    <w:rsid w:val="00867F47"/>
    <w:rsid w:val="00875EE8"/>
    <w:rsid w:val="0088054D"/>
    <w:rsid w:val="00884929"/>
    <w:rsid w:val="008C245C"/>
    <w:rsid w:val="00907B20"/>
    <w:rsid w:val="009321EA"/>
    <w:rsid w:val="009A67E1"/>
    <w:rsid w:val="009B4BC6"/>
    <w:rsid w:val="009F4AA0"/>
    <w:rsid w:val="00A1543D"/>
    <w:rsid w:val="00A21CE2"/>
    <w:rsid w:val="00A41A23"/>
    <w:rsid w:val="00A5739E"/>
    <w:rsid w:val="00A73116"/>
    <w:rsid w:val="00AC4100"/>
    <w:rsid w:val="00AD6572"/>
    <w:rsid w:val="00B33DA0"/>
    <w:rsid w:val="00B775BA"/>
    <w:rsid w:val="00B8617B"/>
    <w:rsid w:val="00BA4ACF"/>
    <w:rsid w:val="00BB63CE"/>
    <w:rsid w:val="00BB7A87"/>
    <w:rsid w:val="00BE5910"/>
    <w:rsid w:val="00C01199"/>
    <w:rsid w:val="00C01F55"/>
    <w:rsid w:val="00C1617E"/>
    <w:rsid w:val="00CA2FAD"/>
    <w:rsid w:val="00D217AD"/>
    <w:rsid w:val="00E11272"/>
    <w:rsid w:val="00E228AC"/>
    <w:rsid w:val="00E30A5D"/>
    <w:rsid w:val="00E42BE0"/>
    <w:rsid w:val="00E501CA"/>
    <w:rsid w:val="00EE13E4"/>
    <w:rsid w:val="00F10293"/>
    <w:rsid w:val="00F17E03"/>
    <w:rsid w:val="00F35F17"/>
    <w:rsid w:val="00F46116"/>
    <w:rsid w:val="00F519B1"/>
    <w:rsid w:val="00F52B2D"/>
    <w:rsid w:val="00F73A32"/>
    <w:rsid w:val="00F936B9"/>
    <w:rsid w:val="00FA3930"/>
    <w:rsid w:val="00FF6B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5FF1ADD6"/>
  <w15:chartTrackingRefBased/>
  <w15:docId w15:val="{6A744F75-AE48-914D-8701-992301A90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135E7C"/>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228AC"/>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E228AC"/>
    <w:rPr>
      <w:b/>
      <w:bCs/>
    </w:rPr>
  </w:style>
  <w:style w:type="paragraph" w:styleId="ListParagraph">
    <w:name w:val="List Paragraph"/>
    <w:basedOn w:val="Normal"/>
    <w:uiPriority w:val="34"/>
    <w:qFormat/>
    <w:rsid w:val="00E228AC"/>
    <w:pPr>
      <w:ind w:left="720"/>
      <w:contextualSpacing/>
    </w:pPr>
  </w:style>
  <w:style w:type="character" w:styleId="Hyperlink">
    <w:name w:val="Hyperlink"/>
    <w:basedOn w:val="DefaultParagraphFont"/>
    <w:uiPriority w:val="99"/>
    <w:unhideWhenUsed/>
    <w:rsid w:val="00867F47"/>
    <w:rPr>
      <w:color w:val="0563C1" w:themeColor="hyperlink"/>
      <w:u w:val="single"/>
    </w:rPr>
  </w:style>
  <w:style w:type="paragraph" w:styleId="FootnoteText">
    <w:name w:val="footnote text"/>
    <w:basedOn w:val="Normal"/>
    <w:link w:val="FootnoteTextChar"/>
    <w:uiPriority w:val="99"/>
    <w:semiHidden/>
    <w:unhideWhenUsed/>
    <w:rsid w:val="00867F47"/>
    <w:rPr>
      <w:sz w:val="20"/>
      <w:szCs w:val="20"/>
    </w:rPr>
  </w:style>
  <w:style w:type="character" w:customStyle="1" w:styleId="FootnoteTextChar">
    <w:name w:val="Footnote Text Char"/>
    <w:basedOn w:val="DefaultParagraphFont"/>
    <w:link w:val="FootnoteText"/>
    <w:uiPriority w:val="99"/>
    <w:semiHidden/>
    <w:rsid w:val="00867F47"/>
    <w:rPr>
      <w:sz w:val="20"/>
      <w:szCs w:val="20"/>
    </w:rPr>
  </w:style>
  <w:style w:type="character" w:styleId="FootnoteReference">
    <w:name w:val="footnote reference"/>
    <w:basedOn w:val="DefaultParagraphFont"/>
    <w:uiPriority w:val="99"/>
    <w:semiHidden/>
    <w:unhideWhenUsed/>
    <w:rsid w:val="00867F47"/>
    <w:rPr>
      <w:vertAlign w:val="superscript"/>
    </w:rPr>
  </w:style>
  <w:style w:type="character" w:customStyle="1" w:styleId="apple-converted-space">
    <w:name w:val="apple-converted-space"/>
    <w:basedOn w:val="DefaultParagraphFont"/>
    <w:rsid w:val="002513CB"/>
  </w:style>
  <w:style w:type="character" w:styleId="UnresolvedMention">
    <w:name w:val="Unresolved Mention"/>
    <w:basedOn w:val="DefaultParagraphFont"/>
    <w:uiPriority w:val="99"/>
    <w:semiHidden/>
    <w:unhideWhenUsed/>
    <w:rsid w:val="00B775BA"/>
    <w:rPr>
      <w:color w:val="605E5C"/>
      <w:shd w:val="clear" w:color="auto" w:fill="E1DFDD"/>
    </w:rPr>
  </w:style>
  <w:style w:type="character" w:styleId="Emphasis">
    <w:name w:val="Emphasis"/>
    <w:basedOn w:val="DefaultParagraphFont"/>
    <w:uiPriority w:val="20"/>
    <w:qFormat/>
    <w:rsid w:val="00406D7A"/>
    <w:rPr>
      <w:i/>
      <w:iCs/>
    </w:rPr>
  </w:style>
  <w:style w:type="character" w:customStyle="1" w:styleId="Heading1Char">
    <w:name w:val="Heading 1 Char"/>
    <w:basedOn w:val="DefaultParagraphFont"/>
    <w:link w:val="Heading1"/>
    <w:uiPriority w:val="9"/>
    <w:rsid w:val="00135E7C"/>
    <w:rPr>
      <w:rFonts w:ascii="Times New Roman" w:eastAsia="Times New Roman" w:hAnsi="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082504">
      <w:bodyDiv w:val="1"/>
      <w:marLeft w:val="0"/>
      <w:marRight w:val="0"/>
      <w:marTop w:val="0"/>
      <w:marBottom w:val="0"/>
      <w:divBdr>
        <w:top w:val="none" w:sz="0" w:space="0" w:color="auto"/>
        <w:left w:val="none" w:sz="0" w:space="0" w:color="auto"/>
        <w:bottom w:val="none" w:sz="0" w:space="0" w:color="auto"/>
        <w:right w:val="none" w:sz="0" w:space="0" w:color="auto"/>
      </w:divBdr>
      <w:divsChild>
        <w:div w:id="1894997108">
          <w:marLeft w:val="0"/>
          <w:marRight w:val="0"/>
          <w:marTop w:val="0"/>
          <w:marBottom w:val="0"/>
          <w:divBdr>
            <w:top w:val="none" w:sz="0" w:space="0" w:color="auto"/>
            <w:left w:val="none" w:sz="0" w:space="0" w:color="auto"/>
            <w:bottom w:val="none" w:sz="0" w:space="0" w:color="auto"/>
            <w:right w:val="none" w:sz="0" w:space="0" w:color="auto"/>
          </w:divBdr>
          <w:divsChild>
            <w:div w:id="1333413656">
              <w:marLeft w:val="0"/>
              <w:marRight w:val="0"/>
              <w:marTop w:val="0"/>
              <w:marBottom w:val="0"/>
              <w:divBdr>
                <w:top w:val="none" w:sz="0" w:space="0" w:color="auto"/>
                <w:left w:val="none" w:sz="0" w:space="0" w:color="auto"/>
                <w:bottom w:val="none" w:sz="0" w:space="0" w:color="auto"/>
                <w:right w:val="none" w:sz="0" w:space="0" w:color="auto"/>
              </w:divBdr>
              <w:divsChild>
                <w:div w:id="1833253764">
                  <w:marLeft w:val="0"/>
                  <w:marRight w:val="0"/>
                  <w:marTop w:val="0"/>
                  <w:marBottom w:val="0"/>
                  <w:divBdr>
                    <w:top w:val="none" w:sz="0" w:space="0" w:color="auto"/>
                    <w:left w:val="none" w:sz="0" w:space="0" w:color="auto"/>
                    <w:bottom w:val="none" w:sz="0" w:space="0" w:color="auto"/>
                    <w:right w:val="none" w:sz="0" w:space="0" w:color="auto"/>
                  </w:divBdr>
                  <w:divsChild>
                    <w:div w:id="1804419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327342">
      <w:bodyDiv w:val="1"/>
      <w:marLeft w:val="0"/>
      <w:marRight w:val="0"/>
      <w:marTop w:val="0"/>
      <w:marBottom w:val="0"/>
      <w:divBdr>
        <w:top w:val="none" w:sz="0" w:space="0" w:color="auto"/>
        <w:left w:val="none" w:sz="0" w:space="0" w:color="auto"/>
        <w:bottom w:val="none" w:sz="0" w:space="0" w:color="auto"/>
        <w:right w:val="none" w:sz="0" w:space="0" w:color="auto"/>
      </w:divBdr>
    </w:div>
    <w:div w:id="184448267">
      <w:bodyDiv w:val="1"/>
      <w:marLeft w:val="0"/>
      <w:marRight w:val="0"/>
      <w:marTop w:val="0"/>
      <w:marBottom w:val="0"/>
      <w:divBdr>
        <w:top w:val="none" w:sz="0" w:space="0" w:color="auto"/>
        <w:left w:val="none" w:sz="0" w:space="0" w:color="auto"/>
        <w:bottom w:val="none" w:sz="0" w:space="0" w:color="auto"/>
        <w:right w:val="none" w:sz="0" w:space="0" w:color="auto"/>
      </w:divBdr>
    </w:div>
    <w:div w:id="240992199">
      <w:bodyDiv w:val="1"/>
      <w:marLeft w:val="0"/>
      <w:marRight w:val="0"/>
      <w:marTop w:val="0"/>
      <w:marBottom w:val="0"/>
      <w:divBdr>
        <w:top w:val="none" w:sz="0" w:space="0" w:color="auto"/>
        <w:left w:val="none" w:sz="0" w:space="0" w:color="auto"/>
        <w:bottom w:val="none" w:sz="0" w:space="0" w:color="auto"/>
        <w:right w:val="none" w:sz="0" w:space="0" w:color="auto"/>
      </w:divBdr>
    </w:div>
    <w:div w:id="439110092">
      <w:bodyDiv w:val="1"/>
      <w:marLeft w:val="0"/>
      <w:marRight w:val="0"/>
      <w:marTop w:val="0"/>
      <w:marBottom w:val="0"/>
      <w:divBdr>
        <w:top w:val="none" w:sz="0" w:space="0" w:color="auto"/>
        <w:left w:val="none" w:sz="0" w:space="0" w:color="auto"/>
        <w:bottom w:val="none" w:sz="0" w:space="0" w:color="auto"/>
        <w:right w:val="none" w:sz="0" w:space="0" w:color="auto"/>
      </w:divBdr>
    </w:div>
    <w:div w:id="609238883">
      <w:bodyDiv w:val="1"/>
      <w:marLeft w:val="0"/>
      <w:marRight w:val="0"/>
      <w:marTop w:val="0"/>
      <w:marBottom w:val="0"/>
      <w:divBdr>
        <w:top w:val="none" w:sz="0" w:space="0" w:color="auto"/>
        <w:left w:val="none" w:sz="0" w:space="0" w:color="auto"/>
        <w:bottom w:val="none" w:sz="0" w:space="0" w:color="auto"/>
        <w:right w:val="none" w:sz="0" w:space="0" w:color="auto"/>
      </w:divBdr>
    </w:div>
    <w:div w:id="711610104">
      <w:bodyDiv w:val="1"/>
      <w:marLeft w:val="0"/>
      <w:marRight w:val="0"/>
      <w:marTop w:val="0"/>
      <w:marBottom w:val="0"/>
      <w:divBdr>
        <w:top w:val="none" w:sz="0" w:space="0" w:color="auto"/>
        <w:left w:val="none" w:sz="0" w:space="0" w:color="auto"/>
        <w:bottom w:val="none" w:sz="0" w:space="0" w:color="auto"/>
        <w:right w:val="none" w:sz="0" w:space="0" w:color="auto"/>
      </w:divBdr>
    </w:div>
    <w:div w:id="729232419">
      <w:bodyDiv w:val="1"/>
      <w:marLeft w:val="0"/>
      <w:marRight w:val="0"/>
      <w:marTop w:val="0"/>
      <w:marBottom w:val="0"/>
      <w:divBdr>
        <w:top w:val="none" w:sz="0" w:space="0" w:color="auto"/>
        <w:left w:val="none" w:sz="0" w:space="0" w:color="auto"/>
        <w:bottom w:val="none" w:sz="0" w:space="0" w:color="auto"/>
        <w:right w:val="none" w:sz="0" w:space="0" w:color="auto"/>
      </w:divBdr>
      <w:divsChild>
        <w:div w:id="2094929322">
          <w:marLeft w:val="0"/>
          <w:marRight w:val="0"/>
          <w:marTop w:val="0"/>
          <w:marBottom w:val="0"/>
          <w:divBdr>
            <w:top w:val="none" w:sz="0" w:space="0" w:color="auto"/>
            <w:left w:val="none" w:sz="0" w:space="0" w:color="auto"/>
            <w:bottom w:val="none" w:sz="0" w:space="0" w:color="auto"/>
            <w:right w:val="none" w:sz="0" w:space="0" w:color="auto"/>
          </w:divBdr>
          <w:divsChild>
            <w:div w:id="1208764294">
              <w:marLeft w:val="0"/>
              <w:marRight w:val="0"/>
              <w:marTop w:val="0"/>
              <w:marBottom w:val="0"/>
              <w:divBdr>
                <w:top w:val="none" w:sz="0" w:space="0" w:color="auto"/>
                <w:left w:val="none" w:sz="0" w:space="0" w:color="auto"/>
                <w:bottom w:val="none" w:sz="0" w:space="0" w:color="auto"/>
                <w:right w:val="none" w:sz="0" w:space="0" w:color="auto"/>
              </w:divBdr>
              <w:divsChild>
                <w:div w:id="551498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0678328">
      <w:bodyDiv w:val="1"/>
      <w:marLeft w:val="0"/>
      <w:marRight w:val="0"/>
      <w:marTop w:val="0"/>
      <w:marBottom w:val="0"/>
      <w:divBdr>
        <w:top w:val="none" w:sz="0" w:space="0" w:color="auto"/>
        <w:left w:val="none" w:sz="0" w:space="0" w:color="auto"/>
        <w:bottom w:val="none" w:sz="0" w:space="0" w:color="auto"/>
        <w:right w:val="none" w:sz="0" w:space="0" w:color="auto"/>
      </w:divBdr>
    </w:div>
    <w:div w:id="1203713919">
      <w:bodyDiv w:val="1"/>
      <w:marLeft w:val="0"/>
      <w:marRight w:val="0"/>
      <w:marTop w:val="0"/>
      <w:marBottom w:val="0"/>
      <w:divBdr>
        <w:top w:val="none" w:sz="0" w:space="0" w:color="auto"/>
        <w:left w:val="none" w:sz="0" w:space="0" w:color="auto"/>
        <w:bottom w:val="none" w:sz="0" w:space="0" w:color="auto"/>
        <w:right w:val="none" w:sz="0" w:space="0" w:color="auto"/>
      </w:divBdr>
      <w:divsChild>
        <w:div w:id="605843793">
          <w:marLeft w:val="0"/>
          <w:marRight w:val="0"/>
          <w:marTop w:val="0"/>
          <w:marBottom w:val="0"/>
          <w:divBdr>
            <w:top w:val="none" w:sz="0" w:space="0" w:color="auto"/>
            <w:left w:val="none" w:sz="0" w:space="0" w:color="auto"/>
            <w:bottom w:val="none" w:sz="0" w:space="0" w:color="auto"/>
            <w:right w:val="none" w:sz="0" w:space="0" w:color="auto"/>
          </w:divBdr>
          <w:divsChild>
            <w:div w:id="1177114524">
              <w:marLeft w:val="0"/>
              <w:marRight w:val="0"/>
              <w:marTop w:val="0"/>
              <w:marBottom w:val="0"/>
              <w:divBdr>
                <w:top w:val="none" w:sz="0" w:space="0" w:color="auto"/>
                <w:left w:val="none" w:sz="0" w:space="0" w:color="auto"/>
                <w:bottom w:val="none" w:sz="0" w:space="0" w:color="auto"/>
                <w:right w:val="none" w:sz="0" w:space="0" w:color="auto"/>
              </w:divBdr>
              <w:divsChild>
                <w:div w:id="757291450">
                  <w:marLeft w:val="0"/>
                  <w:marRight w:val="0"/>
                  <w:marTop w:val="0"/>
                  <w:marBottom w:val="0"/>
                  <w:divBdr>
                    <w:top w:val="none" w:sz="0" w:space="0" w:color="auto"/>
                    <w:left w:val="none" w:sz="0" w:space="0" w:color="auto"/>
                    <w:bottom w:val="none" w:sz="0" w:space="0" w:color="auto"/>
                    <w:right w:val="none" w:sz="0" w:space="0" w:color="auto"/>
                  </w:divBdr>
                  <w:divsChild>
                    <w:div w:id="1833058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3333800">
      <w:bodyDiv w:val="1"/>
      <w:marLeft w:val="0"/>
      <w:marRight w:val="0"/>
      <w:marTop w:val="0"/>
      <w:marBottom w:val="0"/>
      <w:divBdr>
        <w:top w:val="none" w:sz="0" w:space="0" w:color="auto"/>
        <w:left w:val="none" w:sz="0" w:space="0" w:color="auto"/>
        <w:bottom w:val="none" w:sz="0" w:space="0" w:color="auto"/>
        <w:right w:val="none" w:sz="0" w:space="0" w:color="auto"/>
      </w:divBdr>
    </w:div>
    <w:div w:id="1422415045">
      <w:bodyDiv w:val="1"/>
      <w:marLeft w:val="0"/>
      <w:marRight w:val="0"/>
      <w:marTop w:val="0"/>
      <w:marBottom w:val="0"/>
      <w:divBdr>
        <w:top w:val="none" w:sz="0" w:space="0" w:color="auto"/>
        <w:left w:val="none" w:sz="0" w:space="0" w:color="auto"/>
        <w:bottom w:val="none" w:sz="0" w:space="0" w:color="auto"/>
        <w:right w:val="none" w:sz="0" w:space="0" w:color="auto"/>
      </w:divBdr>
    </w:div>
    <w:div w:id="1775902448">
      <w:bodyDiv w:val="1"/>
      <w:marLeft w:val="0"/>
      <w:marRight w:val="0"/>
      <w:marTop w:val="0"/>
      <w:marBottom w:val="0"/>
      <w:divBdr>
        <w:top w:val="none" w:sz="0" w:space="0" w:color="auto"/>
        <w:left w:val="none" w:sz="0" w:space="0" w:color="auto"/>
        <w:bottom w:val="none" w:sz="0" w:space="0" w:color="auto"/>
        <w:right w:val="none" w:sz="0" w:space="0" w:color="auto"/>
      </w:divBdr>
    </w:div>
    <w:div w:id="1868641737">
      <w:bodyDiv w:val="1"/>
      <w:marLeft w:val="0"/>
      <w:marRight w:val="0"/>
      <w:marTop w:val="0"/>
      <w:marBottom w:val="0"/>
      <w:divBdr>
        <w:top w:val="none" w:sz="0" w:space="0" w:color="auto"/>
        <w:left w:val="none" w:sz="0" w:space="0" w:color="auto"/>
        <w:bottom w:val="none" w:sz="0" w:space="0" w:color="auto"/>
        <w:right w:val="none" w:sz="0" w:space="0" w:color="auto"/>
      </w:divBdr>
      <w:divsChild>
        <w:div w:id="1204445340">
          <w:marLeft w:val="0"/>
          <w:marRight w:val="0"/>
          <w:marTop w:val="0"/>
          <w:marBottom w:val="0"/>
          <w:divBdr>
            <w:top w:val="none" w:sz="0" w:space="0" w:color="auto"/>
            <w:left w:val="none" w:sz="0" w:space="0" w:color="auto"/>
            <w:bottom w:val="none" w:sz="0" w:space="0" w:color="auto"/>
            <w:right w:val="none" w:sz="0" w:space="0" w:color="auto"/>
          </w:divBdr>
          <w:divsChild>
            <w:div w:id="545608234">
              <w:marLeft w:val="0"/>
              <w:marRight w:val="0"/>
              <w:marTop w:val="0"/>
              <w:marBottom w:val="0"/>
              <w:divBdr>
                <w:top w:val="none" w:sz="0" w:space="0" w:color="auto"/>
                <w:left w:val="none" w:sz="0" w:space="0" w:color="auto"/>
                <w:bottom w:val="none" w:sz="0" w:space="0" w:color="auto"/>
                <w:right w:val="none" w:sz="0" w:space="0" w:color="auto"/>
              </w:divBdr>
              <w:divsChild>
                <w:div w:id="849491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ethin.substack.com/p/how-big-business-made-a-mockery-of?r=u8qe&amp;utm_campaign=post&amp;utm_medium=web" TargetMode="Externa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www.gov.scot/binaries/content/documents/govscot/publications/impact-assessment/2021/11/short-term-lets-business-regulatory-impact-assessment2/documents/short-term-lets-licensing-scheme-planning-control-area-legislation-business-regulatory-impact-assessment-bria/short-term-lets-licensing-scheme-planning-control-area-legislation-business-regulatory-impact-assessment-bria/govscot%3Adocument/short-term-lets-licensing-scheme-planning-control-area-legislation-business-regulatory-impact-assessment-bria.pdf" TargetMode="External"/><Relationship Id="rId1" Type="http://schemas.openxmlformats.org/officeDocument/2006/relationships/hyperlink" Target="https://www.gov.scot/binaries/content/documents/govscot/publications/impact-assessment/2021/11/short-term-lets-business-regulatory-impact-assessment2/documents/short-term-lets-licensing-scheme-planning-control-area-legislation-business-regulatory-impact-assessment-bria/short-term-lets-licensing-scheme-planning-control-area-legislation-business-regulatory-impact-assessment-bria/govscot%3Adocument/short-term-lets-licensing-scheme-planning-control-area-legislation-business-regulatory-impact-assessment-bria.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2</Pages>
  <Words>736</Words>
  <Characters>4198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24</cp:revision>
  <dcterms:created xsi:type="dcterms:W3CDTF">2023-07-22T16:09:00Z</dcterms:created>
  <dcterms:modified xsi:type="dcterms:W3CDTF">2023-07-23T21:50:00Z</dcterms:modified>
</cp:coreProperties>
</file>