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60169" w14:textId="46F8A483" w:rsidR="006D77E7" w:rsidRDefault="006D77E7" w:rsidP="00867F47">
      <w:pPr>
        <w:jc w:val="center"/>
        <w:rPr>
          <w:b/>
          <w:sz w:val="21"/>
          <w:szCs w:val="21"/>
        </w:rPr>
      </w:pPr>
      <w:r>
        <w:rPr>
          <w:b/>
          <w:noProof/>
          <w:sz w:val="21"/>
          <w:szCs w:val="21"/>
        </w:rPr>
        <w:drawing>
          <wp:inline distT="0" distB="0" distL="0" distR="0" wp14:anchorId="4BCC169F" wp14:editId="03EA95C0">
            <wp:extent cx="95250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C_40b.jpg"/>
                    <pic:cNvPicPr/>
                  </pic:nvPicPr>
                  <pic:blipFill>
                    <a:blip r:embed="rId7">
                      <a:extLst>
                        <a:ext uri="{28A0092B-C50C-407E-A947-70E740481C1C}">
                          <a14:useLocalDpi xmlns:a14="http://schemas.microsoft.com/office/drawing/2010/main" val="0"/>
                        </a:ext>
                      </a:extLst>
                    </a:blip>
                    <a:stretch>
                      <a:fillRect/>
                    </a:stretch>
                  </pic:blipFill>
                  <pic:spPr>
                    <a:xfrm>
                      <a:off x="0" y="0"/>
                      <a:ext cx="952500" cy="927100"/>
                    </a:xfrm>
                    <a:prstGeom prst="rect">
                      <a:avLst/>
                    </a:prstGeom>
                  </pic:spPr>
                </pic:pic>
              </a:graphicData>
            </a:graphic>
          </wp:inline>
        </w:drawing>
      </w:r>
    </w:p>
    <w:p w14:paraId="450322F8" w14:textId="77777777" w:rsidR="006D77E7" w:rsidRDefault="006D77E7" w:rsidP="00867F47">
      <w:pPr>
        <w:jc w:val="center"/>
        <w:rPr>
          <w:b/>
          <w:sz w:val="21"/>
          <w:szCs w:val="21"/>
        </w:rPr>
      </w:pPr>
    </w:p>
    <w:p w14:paraId="6165ECA6" w14:textId="7D4DBF75" w:rsidR="00867F47" w:rsidRPr="00E70181" w:rsidRDefault="000037C0" w:rsidP="00867F47">
      <w:pPr>
        <w:jc w:val="center"/>
        <w:rPr>
          <w:b/>
          <w:sz w:val="21"/>
          <w:szCs w:val="21"/>
          <w:u w:val="single"/>
        </w:rPr>
      </w:pPr>
      <w:r w:rsidRPr="00E70181">
        <w:rPr>
          <w:b/>
          <w:sz w:val="21"/>
          <w:szCs w:val="21"/>
          <w:u w:val="single"/>
        </w:rPr>
        <w:t>Illegalities</w:t>
      </w:r>
      <w:r w:rsidR="005927C3" w:rsidRPr="00E70181">
        <w:rPr>
          <w:b/>
          <w:sz w:val="21"/>
          <w:szCs w:val="21"/>
          <w:u w:val="single"/>
        </w:rPr>
        <w:t xml:space="preserve"> and Potential illegalities</w:t>
      </w:r>
      <w:r w:rsidR="00807BDF" w:rsidRPr="00E70181">
        <w:rPr>
          <w:b/>
          <w:sz w:val="21"/>
          <w:szCs w:val="21"/>
          <w:u w:val="single"/>
        </w:rPr>
        <w:t xml:space="preserve"> - </w:t>
      </w:r>
      <w:r w:rsidRPr="00E70181">
        <w:rPr>
          <w:b/>
          <w:sz w:val="21"/>
          <w:szCs w:val="21"/>
          <w:u w:val="single"/>
        </w:rPr>
        <w:t xml:space="preserve">Scottish Short-Term Let </w:t>
      </w:r>
      <w:r w:rsidR="005927C3" w:rsidRPr="00E70181">
        <w:rPr>
          <w:b/>
          <w:sz w:val="21"/>
          <w:szCs w:val="21"/>
          <w:u w:val="single"/>
        </w:rPr>
        <w:t xml:space="preserve">(STL) </w:t>
      </w:r>
      <w:r w:rsidRPr="00E70181">
        <w:rPr>
          <w:b/>
          <w:sz w:val="21"/>
          <w:szCs w:val="21"/>
          <w:u w:val="single"/>
        </w:rPr>
        <w:t xml:space="preserve">Legislation </w:t>
      </w:r>
    </w:p>
    <w:p w14:paraId="61A48D12" w14:textId="77777777" w:rsidR="00867F47" w:rsidRPr="00487A84" w:rsidRDefault="00867F47" w:rsidP="00E228AC">
      <w:pPr>
        <w:rPr>
          <w:sz w:val="21"/>
          <w:szCs w:val="21"/>
        </w:rPr>
      </w:pPr>
    </w:p>
    <w:p w14:paraId="1FC0A72E" w14:textId="77777777" w:rsidR="009321EA" w:rsidRPr="00FF6BE8" w:rsidRDefault="009321EA" w:rsidP="00867F47">
      <w:pPr>
        <w:rPr>
          <w:rFonts w:ascii="Calibri" w:hAnsi="Calibri" w:cs="Calibri"/>
          <w:b/>
          <w:color w:val="000000"/>
          <w:sz w:val="21"/>
          <w:szCs w:val="21"/>
          <w:u w:val="single"/>
        </w:rPr>
      </w:pPr>
      <w:r w:rsidRPr="00FF6BE8">
        <w:rPr>
          <w:rFonts w:ascii="Calibri" w:hAnsi="Calibri" w:cs="Calibri"/>
          <w:b/>
          <w:color w:val="000000"/>
          <w:sz w:val="21"/>
          <w:szCs w:val="21"/>
          <w:u w:val="single"/>
        </w:rPr>
        <w:t>Background</w:t>
      </w:r>
    </w:p>
    <w:p w14:paraId="1E707518" w14:textId="6CF9023D" w:rsidR="00B9779C" w:rsidRDefault="00867F47" w:rsidP="00867F47">
      <w:pPr>
        <w:rPr>
          <w:rFonts w:ascii="Calibri" w:hAnsi="Calibri" w:cs="Calibri"/>
          <w:color w:val="000000"/>
          <w:sz w:val="21"/>
          <w:szCs w:val="21"/>
        </w:rPr>
      </w:pPr>
      <w:r w:rsidRPr="00487A84">
        <w:rPr>
          <w:rFonts w:ascii="Calibri" w:hAnsi="Calibri" w:cs="Calibri"/>
          <w:color w:val="000000"/>
          <w:sz w:val="21"/>
          <w:szCs w:val="21"/>
        </w:rPr>
        <w:t>As the clock ticks down to 1 October 2023</w:t>
      </w:r>
      <w:r w:rsidR="005927C3">
        <w:rPr>
          <w:rFonts w:ascii="Calibri" w:hAnsi="Calibri" w:cs="Calibri"/>
          <w:color w:val="000000"/>
          <w:sz w:val="21"/>
          <w:szCs w:val="21"/>
        </w:rPr>
        <w:t xml:space="preserve">, the Scottish Government has made </w:t>
      </w:r>
      <w:r w:rsidR="00E70181">
        <w:rPr>
          <w:rFonts w:ascii="Calibri" w:hAnsi="Calibri" w:cs="Calibri"/>
          <w:color w:val="000000"/>
          <w:sz w:val="21"/>
          <w:szCs w:val="21"/>
        </w:rPr>
        <w:t xml:space="preserve">it </w:t>
      </w:r>
      <w:r w:rsidR="005927C3">
        <w:rPr>
          <w:rFonts w:ascii="Calibri" w:hAnsi="Calibri" w:cs="Calibri"/>
          <w:color w:val="000000"/>
          <w:sz w:val="21"/>
          <w:szCs w:val="21"/>
        </w:rPr>
        <w:t xml:space="preserve">plain that it intends to go ahead with no amendments and no delays. The ASSC and wider tourism industry </w:t>
      </w:r>
      <w:r w:rsidR="002323FD">
        <w:rPr>
          <w:rFonts w:ascii="Calibri" w:hAnsi="Calibri" w:cs="Calibri"/>
          <w:color w:val="000000"/>
          <w:sz w:val="21"/>
          <w:szCs w:val="21"/>
        </w:rPr>
        <w:t xml:space="preserve">remains </w:t>
      </w:r>
      <w:r w:rsidR="005927C3">
        <w:rPr>
          <w:rFonts w:ascii="Calibri" w:hAnsi="Calibri" w:cs="Calibri"/>
          <w:color w:val="000000"/>
          <w:sz w:val="21"/>
          <w:szCs w:val="21"/>
        </w:rPr>
        <w:t xml:space="preserve">alarmed by the extent of known unlawfulness and potential unlawfulness with the Scottish STL Licensing scheme. </w:t>
      </w:r>
    </w:p>
    <w:p w14:paraId="4279E1C1" w14:textId="58D686B3" w:rsidR="000F0586" w:rsidRDefault="000F0586" w:rsidP="00867F47">
      <w:pPr>
        <w:rPr>
          <w:rFonts w:ascii="Calibri" w:hAnsi="Calibri" w:cs="Calibri"/>
          <w:color w:val="000000"/>
          <w:sz w:val="21"/>
          <w:szCs w:val="21"/>
        </w:rPr>
      </w:pPr>
    </w:p>
    <w:p w14:paraId="38FA55D9" w14:textId="7F70AB8C" w:rsidR="000F0586" w:rsidRDefault="000F0586" w:rsidP="00867F47">
      <w:pPr>
        <w:rPr>
          <w:rFonts w:ascii="Calibri" w:hAnsi="Calibri" w:cs="Calibri"/>
          <w:color w:val="000000"/>
          <w:sz w:val="21"/>
          <w:szCs w:val="21"/>
        </w:rPr>
      </w:pPr>
      <w:r>
        <w:rPr>
          <w:rFonts w:ascii="Calibri" w:hAnsi="Calibri" w:cs="Calibri"/>
          <w:color w:val="000000"/>
          <w:sz w:val="21"/>
          <w:szCs w:val="21"/>
        </w:rPr>
        <w:t xml:space="preserve">Laws we believe are being contravened/breached </w:t>
      </w:r>
      <w:proofErr w:type="gramStart"/>
      <w:r>
        <w:rPr>
          <w:rFonts w:ascii="Calibri" w:hAnsi="Calibri" w:cs="Calibri"/>
          <w:color w:val="000000"/>
          <w:sz w:val="21"/>
          <w:szCs w:val="21"/>
        </w:rPr>
        <w:t>include:-</w:t>
      </w:r>
      <w:proofErr w:type="gramEnd"/>
    </w:p>
    <w:p w14:paraId="06FC8775" w14:textId="1543A713" w:rsidR="000F0586" w:rsidRDefault="000F0586" w:rsidP="000F0586">
      <w:pPr>
        <w:pStyle w:val="ListParagraph"/>
        <w:numPr>
          <w:ilvl w:val="0"/>
          <w:numId w:val="12"/>
        </w:numPr>
        <w:rPr>
          <w:rFonts w:ascii="Calibri" w:hAnsi="Calibri" w:cs="Calibri"/>
          <w:color w:val="000000"/>
          <w:sz w:val="21"/>
          <w:szCs w:val="21"/>
        </w:rPr>
      </w:pPr>
      <w:r>
        <w:rPr>
          <w:rFonts w:ascii="Calibri" w:hAnsi="Calibri" w:cs="Calibri"/>
          <w:color w:val="000000"/>
          <w:sz w:val="21"/>
          <w:szCs w:val="21"/>
        </w:rPr>
        <w:t>Common Law</w:t>
      </w:r>
    </w:p>
    <w:p w14:paraId="77B9D827" w14:textId="34FFDF02" w:rsidR="000F0586" w:rsidRDefault="000F0586" w:rsidP="000F0586">
      <w:pPr>
        <w:pStyle w:val="ListParagraph"/>
        <w:numPr>
          <w:ilvl w:val="0"/>
          <w:numId w:val="12"/>
        </w:numPr>
        <w:rPr>
          <w:rFonts w:ascii="Calibri" w:hAnsi="Calibri" w:cs="Calibri"/>
          <w:color w:val="000000"/>
          <w:sz w:val="21"/>
          <w:szCs w:val="21"/>
        </w:rPr>
      </w:pPr>
      <w:r>
        <w:rPr>
          <w:rFonts w:ascii="Calibri" w:hAnsi="Calibri" w:cs="Calibri"/>
          <w:color w:val="000000"/>
          <w:sz w:val="21"/>
          <w:szCs w:val="21"/>
        </w:rPr>
        <w:t>Provision of Services Act 2009</w:t>
      </w:r>
    </w:p>
    <w:p w14:paraId="73CD9FEA" w14:textId="69C2E739" w:rsidR="000F0586" w:rsidRDefault="000F0586" w:rsidP="000F0586">
      <w:pPr>
        <w:pStyle w:val="ListParagraph"/>
        <w:numPr>
          <w:ilvl w:val="0"/>
          <w:numId w:val="12"/>
        </w:numPr>
        <w:rPr>
          <w:rFonts w:ascii="Calibri" w:hAnsi="Calibri" w:cs="Calibri"/>
          <w:color w:val="000000"/>
          <w:sz w:val="21"/>
          <w:szCs w:val="21"/>
        </w:rPr>
      </w:pPr>
      <w:r>
        <w:rPr>
          <w:rFonts w:ascii="Calibri" w:hAnsi="Calibri" w:cs="Calibri"/>
          <w:color w:val="000000"/>
          <w:sz w:val="21"/>
          <w:szCs w:val="21"/>
        </w:rPr>
        <w:t>Human Rights Act Article 1 Protocol 1</w:t>
      </w:r>
    </w:p>
    <w:p w14:paraId="61ADC156" w14:textId="305EE4DF" w:rsidR="000F0586" w:rsidRDefault="000F0586" w:rsidP="000F0586">
      <w:pPr>
        <w:pStyle w:val="ListParagraph"/>
        <w:numPr>
          <w:ilvl w:val="0"/>
          <w:numId w:val="12"/>
        </w:numPr>
        <w:rPr>
          <w:rFonts w:ascii="Calibri" w:hAnsi="Calibri" w:cs="Calibri"/>
          <w:color w:val="000000"/>
          <w:sz w:val="21"/>
          <w:szCs w:val="21"/>
        </w:rPr>
      </w:pPr>
      <w:r>
        <w:rPr>
          <w:rFonts w:ascii="Calibri" w:hAnsi="Calibri" w:cs="Calibri"/>
          <w:color w:val="000000"/>
          <w:sz w:val="21"/>
          <w:szCs w:val="21"/>
        </w:rPr>
        <w:t>The Town and Country Planning (Scotland) Act 1997</w:t>
      </w:r>
    </w:p>
    <w:p w14:paraId="2A414FD6" w14:textId="588C93DA" w:rsidR="000F0586" w:rsidRPr="000F0586" w:rsidRDefault="000F0586" w:rsidP="000F0586">
      <w:pPr>
        <w:pStyle w:val="ListParagraph"/>
        <w:numPr>
          <w:ilvl w:val="0"/>
          <w:numId w:val="12"/>
        </w:numPr>
        <w:rPr>
          <w:rFonts w:ascii="Calibri" w:hAnsi="Calibri" w:cs="Calibri"/>
          <w:color w:val="000000"/>
          <w:sz w:val="21"/>
          <w:szCs w:val="21"/>
        </w:rPr>
      </w:pPr>
      <w:r>
        <w:rPr>
          <w:rFonts w:ascii="Calibri" w:hAnsi="Calibri" w:cs="Calibri"/>
          <w:color w:val="000000"/>
          <w:sz w:val="21"/>
          <w:szCs w:val="21"/>
        </w:rPr>
        <w:t>Internal Market Act 2020</w:t>
      </w:r>
    </w:p>
    <w:p w14:paraId="34DF7A34" w14:textId="0F9044F9" w:rsidR="000F0586" w:rsidRPr="000F0586" w:rsidRDefault="000F0586" w:rsidP="000F0586">
      <w:pPr>
        <w:pStyle w:val="ListParagraph"/>
        <w:numPr>
          <w:ilvl w:val="0"/>
          <w:numId w:val="12"/>
        </w:numPr>
        <w:rPr>
          <w:rFonts w:ascii="Calibri" w:hAnsi="Calibri" w:cs="Calibri"/>
          <w:color w:val="000000"/>
          <w:sz w:val="21"/>
          <w:szCs w:val="21"/>
        </w:rPr>
      </w:pPr>
      <w:r>
        <w:rPr>
          <w:rFonts w:ascii="Calibri" w:hAnsi="Calibri" w:cs="Calibri"/>
          <w:color w:val="000000"/>
          <w:sz w:val="21"/>
          <w:szCs w:val="21"/>
        </w:rPr>
        <w:t>Competition Law</w:t>
      </w:r>
    </w:p>
    <w:p w14:paraId="173917B2" w14:textId="77777777" w:rsidR="00B9779C" w:rsidRDefault="00B9779C" w:rsidP="00867F47">
      <w:pPr>
        <w:rPr>
          <w:rFonts w:ascii="Calibri" w:hAnsi="Calibri" w:cs="Calibri"/>
          <w:color w:val="000000"/>
          <w:sz w:val="21"/>
          <w:szCs w:val="21"/>
        </w:rPr>
      </w:pPr>
    </w:p>
    <w:p w14:paraId="239B269C" w14:textId="204A9B96" w:rsidR="00D14DDB" w:rsidRPr="00211124" w:rsidRDefault="00D14DDB" w:rsidP="000F0586">
      <w:pPr>
        <w:rPr>
          <w:rFonts w:cstheme="minorHAnsi"/>
          <w:b/>
          <w:iCs/>
          <w:color w:val="000000" w:themeColor="text1"/>
          <w:sz w:val="21"/>
          <w:szCs w:val="21"/>
        </w:rPr>
      </w:pPr>
      <w:r w:rsidRPr="00211124">
        <w:rPr>
          <w:rFonts w:cstheme="minorHAnsi"/>
          <w:b/>
          <w:iCs/>
          <w:color w:val="000000" w:themeColor="text1"/>
          <w:sz w:val="21"/>
          <w:szCs w:val="21"/>
          <w:u w:val="single"/>
        </w:rPr>
        <w:t>Red Flags and Solution July 2023 - rejected</w:t>
      </w:r>
    </w:p>
    <w:p w14:paraId="4DD99972" w14:textId="7FA8DF82" w:rsidR="000F0586" w:rsidRDefault="000F0586" w:rsidP="000F0586">
      <w:pPr>
        <w:rPr>
          <w:rFonts w:cstheme="minorHAnsi"/>
          <w:iCs/>
          <w:color w:val="000000" w:themeColor="text1"/>
          <w:sz w:val="21"/>
          <w:szCs w:val="21"/>
        </w:rPr>
      </w:pPr>
      <w:r>
        <w:rPr>
          <w:rFonts w:cstheme="minorHAnsi"/>
          <w:iCs/>
          <w:color w:val="000000" w:themeColor="text1"/>
          <w:sz w:val="21"/>
          <w:szCs w:val="21"/>
        </w:rPr>
        <w:t>On 11</w:t>
      </w:r>
      <w:r w:rsidRPr="00A5739E">
        <w:rPr>
          <w:rFonts w:cstheme="minorHAnsi"/>
          <w:iCs/>
          <w:color w:val="000000" w:themeColor="text1"/>
          <w:sz w:val="21"/>
          <w:szCs w:val="21"/>
          <w:vertAlign w:val="superscript"/>
        </w:rPr>
        <w:t>th</w:t>
      </w:r>
      <w:r>
        <w:rPr>
          <w:rFonts w:cstheme="minorHAnsi"/>
          <w:iCs/>
          <w:color w:val="000000" w:themeColor="text1"/>
          <w:sz w:val="21"/>
          <w:szCs w:val="21"/>
        </w:rPr>
        <w:t xml:space="preserve"> July 2023, the Scottish Government asked us to highlight </w:t>
      </w:r>
      <w:r w:rsidRPr="00BF3659">
        <w:rPr>
          <w:rFonts w:cstheme="minorHAnsi"/>
          <w:b/>
          <w:iCs/>
          <w:color w:val="000000" w:themeColor="text1"/>
          <w:sz w:val="21"/>
          <w:szCs w:val="21"/>
        </w:rPr>
        <w:t>specific details</w:t>
      </w:r>
      <w:r>
        <w:rPr>
          <w:rFonts w:cstheme="minorHAnsi"/>
          <w:iCs/>
          <w:color w:val="000000" w:themeColor="text1"/>
          <w:sz w:val="21"/>
          <w:szCs w:val="21"/>
        </w:rPr>
        <w:t xml:space="preserve"> which are causing challenges for the sector. We outlined 14 red flags</w:t>
      </w:r>
      <w:r>
        <w:rPr>
          <w:rStyle w:val="FootnoteReference"/>
          <w:rFonts w:cstheme="minorHAnsi"/>
          <w:iCs/>
          <w:color w:val="000000" w:themeColor="text1"/>
          <w:sz w:val="21"/>
          <w:szCs w:val="21"/>
        </w:rPr>
        <w:footnoteReference w:id="1"/>
      </w:r>
      <w:r>
        <w:rPr>
          <w:rFonts w:cstheme="minorHAnsi"/>
          <w:iCs/>
          <w:color w:val="000000" w:themeColor="text1"/>
          <w:sz w:val="21"/>
          <w:szCs w:val="21"/>
        </w:rPr>
        <w:t xml:space="preserve"> which</w:t>
      </w:r>
      <w:r w:rsidR="00E70181">
        <w:rPr>
          <w:rFonts w:cstheme="minorHAnsi"/>
          <w:iCs/>
          <w:color w:val="000000" w:themeColor="text1"/>
          <w:sz w:val="21"/>
          <w:szCs w:val="21"/>
        </w:rPr>
        <w:t>,</w:t>
      </w:r>
      <w:r w:rsidR="002323FD">
        <w:rPr>
          <w:rFonts w:cstheme="minorHAnsi"/>
          <w:iCs/>
          <w:color w:val="000000" w:themeColor="text1"/>
          <w:sz w:val="21"/>
          <w:szCs w:val="21"/>
        </w:rPr>
        <w:t xml:space="preserve"> if </w:t>
      </w:r>
      <w:r>
        <w:rPr>
          <w:rFonts w:cstheme="minorHAnsi"/>
          <w:iCs/>
          <w:color w:val="000000" w:themeColor="text1"/>
          <w:sz w:val="21"/>
          <w:szCs w:val="21"/>
        </w:rPr>
        <w:t>addressed</w:t>
      </w:r>
      <w:r w:rsidR="00E70181">
        <w:rPr>
          <w:rFonts w:cstheme="minorHAnsi"/>
          <w:iCs/>
          <w:color w:val="000000" w:themeColor="text1"/>
          <w:sz w:val="21"/>
          <w:szCs w:val="21"/>
        </w:rPr>
        <w:t>,</w:t>
      </w:r>
      <w:r>
        <w:rPr>
          <w:rFonts w:cstheme="minorHAnsi"/>
          <w:iCs/>
          <w:color w:val="000000" w:themeColor="text1"/>
          <w:sz w:val="21"/>
          <w:szCs w:val="21"/>
        </w:rPr>
        <w:t xml:space="preserve"> </w:t>
      </w:r>
      <w:r w:rsidR="002323FD">
        <w:rPr>
          <w:rFonts w:cstheme="minorHAnsi"/>
          <w:iCs/>
          <w:color w:val="000000" w:themeColor="text1"/>
          <w:sz w:val="21"/>
          <w:szCs w:val="21"/>
        </w:rPr>
        <w:t xml:space="preserve">would </w:t>
      </w:r>
      <w:r>
        <w:rPr>
          <w:rFonts w:cstheme="minorHAnsi"/>
          <w:iCs/>
          <w:color w:val="000000" w:themeColor="text1"/>
          <w:sz w:val="21"/>
          <w:szCs w:val="21"/>
        </w:rPr>
        <w:t>achieve the Scottish Government’s aim of delivering licensing, and reset relations with the sector whilst supporting rather than damaging tourism.</w:t>
      </w:r>
      <w:r w:rsidRPr="00E71DB6">
        <w:rPr>
          <w:rFonts w:cstheme="minorHAnsi"/>
          <w:iCs/>
          <w:color w:val="000000" w:themeColor="text1"/>
          <w:sz w:val="21"/>
          <w:szCs w:val="21"/>
        </w:rPr>
        <w:t xml:space="preserve"> </w:t>
      </w:r>
      <w:r w:rsidRPr="00025299">
        <w:rPr>
          <w:rFonts w:cstheme="minorHAnsi"/>
          <w:iCs/>
          <w:color w:val="000000" w:themeColor="text1"/>
          <w:sz w:val="21"/>
          <w:szCs w:val="21"/>
        </w:rPr>
        <w:t xml:space="preserve">We provided robust solutions to </w:t>
      </w:r>
      <w:r>
        <w:rPr>
          <w:rFonts w:cstheme="minorHAnsi"/>
          <w:iCs/>
          <w:color w:val="000000" w:themeColor="text1"/>
          <w:sz w:val="21"/>
          <w:szCs w:val="21"/>
        </w:rPr>
        <w:t xml:space="preserve">resolve the deficiencies </w:t>
      </w:r>
      <w:r w:rsidR="00E6763F">
        <w:rPr>
          <w:rFonts w:cstheme="minorHAnsi"/>
          <w:iCs/>
          <w:color w:val="000000" w:themeColor="text1"/>
          <w:sz w:val="21"/>
          <w:szCs w:val="21"/>
        </w:rPr>
        <w:t>associated with the scheme</w:t>
      </w:r>
      <w:r>
        <w:rPr>
          <w:rFonts w:cstheme="minorHAnsi"/>
          <w:iCs/>
          <w:color w:val="000000" w:themeColor="text1"/>
          <w:sz w:val="21"/>
          <w:szCs w:val="21"/>
        </w:rPr>
        <w:t>.</w:t>
      </w:r>
      <w:r w:rsidRPr="005F0025">
        <w:rPr>
          <w:rFonts w:cstheme="minorHAnsi"/>
          <w:iCs/>
          <w:color w:val="000000" w:themeColor="text1"/>
          <w:sz w:val="21"/>
          <w:szCs w:val="21"/>
        </w:rPr>
        <w:t xml:space="preserve"> </w:t>
      </w:r>
      <w:r>
        <w:rPr>
          <w:rFonts w:cstheme="minorHAnsi"/>
          <w:iCs/>
          <w:color w:val="000000" w:themeColor="text1"/>
          <w:sz w:val="21"/>
          <w:szCs w:val="21"/>
        </w:rPr>
        <w:t xml:space="preserve">All 14 </w:t>
      </w:r>
      <w:r w:rsidR="00E6763F">
        <w:rPr>
          <w:rFonts w:cstheme="minorHAnsi"/>
          <w:iCs/>
          <w:color w:val="000000" w:themeColor="text1"/>
          <w:sz w:val="21"/>
          <w:szCs w:val="21"/>
        </w:rPr>
        <w:t xml:space="preserve">red flags, and solutions, </w:t>
      </w:r>
      <w:r>
        <w:rPr>
          <w:rFonts w:cstheme="minorHAnsi"/>
          <w:iCs/>
          <w:color w:val="000000" w:themeColor="text1"/>
          <w:sz w:val="21"/>
          <w:szCs w:val="21"/>
        </w:rPr>
        <w:t>were rejected</w:t>
      </w:r>
      <w:r w:rsidR="002323FD">
        <w:rPr>
          <w:rFonts w:cstheme="minorHAnsi"/>
          <w:iCs/>
          <w:color w:val="000000" w:themeColor="text1"/>
          <w:sz w:val="21"/>
          <w:szCs w:val="21"/>
        </w:rPr>
        <w:t xml:space="preserve"> on 21</w:t>
      </w:r>
      <w:r w:rsidR="002323FD" w:rsidRPr="002323FD">
        <w:rPr>
          <w:rFonts w:cstheme="minorHAnsi"/>
          <w:iCs/>
          <w:color w:val="000000" w:themeColor="text1"/>
          <w:sz w:val="21"/>
          <w:szCs w:val="21"/>
          <w:vertAlign w:val="superscript"/>
        </w:rPr>
        <w:t>st</w:t>
      </w:r>
      <w:r w:rsidR="002323FD">
        <w:rPr>
          <w:rFonts w:cstheme="minorHAnsi"/>
          <w:iCs/>
          <w:color w:val="000000" w:themeColor="text1"/>
          <w:sz w:val="21"/>
          <w:szCs w:val="21"/>
        </w:rPr>
        <w:t xml:space="preserve"> July 2023</w:t>
      </w:r>
      <w:r>
        <w:rPr>
          <w:rFonts w:cstheme="minorHAnsi"/>
          <w:iCs/>
          <w:color w:val="000000" w:themeColor="text1"/>
          <w:sz w:val="21"/>
          <w:szCs w:val="21"/>
        </w:rPr>
        <w:t>.</w:t>
      </w:r>
    </w:p>
    <w:p w14:paraId="68FA2169" w14:textId="5EE0A02B" w:rsidR="002323FD" w:rsidRDefault="002323FD" w:rsidP="000F0586">
      <w:pPr>
        <w:rPr>
          <w:rStyle w:val="apple-converted-space"/>
          <w:rFonts w:cstheme="minorHAnsi"/>
          <w:iCs/>
          <w:color w:val="000000" w:themeColor="text1"/>
          <w:sz w:val="21"/>
          <w:szCs w:val="21"/>
        </w:rPr>
      </w:pPr>
    </w:p>
    <w:p w14:paraId="6A6D8875" w14:textId="4D2E3F61" w:rsidR="002323FD" w:rsidRPr="00211124" w:rsidRDefault="002323FD" w:rsidP="000F0586">
      <w:pPr>
        <w:rPr>
          <w:rStyle w:val="apple-converted-space"/>
          <w:rFonts w:cstheme="minorHAnsi"/>
          <w:b/>
          <w:iCs/>
          <w:color w:val="000000" w:themeColor="text1"/>
          <w:sz w:val="21"/>
          <w:szCs w:val="21"/>
          <w:u w:val="single"/>
        </w:rPr>
      </w:pPr>
      <w:r w:rsidRPr="00211124">
        <w:rPr>
          <w:rStyle w:val="apple-converted-space"/>
          <w:rFonts w:cstheme="minorHAnsi"/>
          <w:b/>
          <w:iCs/>
          <w:color w:val="000000" w:themeColor="text1"/>
          <w:sz w:val="21"/>
          <w:szCs w:val="21"/>
          <w:u w:val="single"/>
        </w:rPr>
        <w:t>Judicial Revie</w:t>
      </w:r>
      <w:r w:rsidR="00211124">
        <w:rPr>
          <w:rStyle w:val="apple-converted-space"/>
          <w:rFonts w:cstheme="minorHAnsi"/>
          <w:b/>
          <w:iCs/>
          <w:color w:val="000000" w:themeColor="text1"/>
          <w:sz w:val="21"/>
          <w:szCs w:val="21"/>
          <w:u w:val="single"/>
        </w:rPr>
        <w:t>ws</w:t>
      </w:r>
      <w:r w:rsidRPr="00211124">
        <w:rPr>
          <w:rStyle w:val="apple-converted-space"/>
          <w:rFonts w:cstheme="minorHAnsi"/>
          <w:b/>
          <w:iCs/>
          <w:color w:val="000000" w:themeColor="text1"/>
          <w:sz w:val="21"/>
          <w:szCs w:val="21"/>
          <w:u w:val="single"/>
        </w:rPr>
        <w:t xml:space="preserve"> </w:t>
      </w:r>
    </w:p>
    <w:p w14:paraId="7839F4BD" w14:textId="4F225996" w:rsidR="00B9779C" w:rsidRPr="0095027D" w:rsidRDefault="00BE0ABE" w:rsidP="00867F47">
      <w:pPr>
        <w:rPr>
          <w:rFonts w:cstheme="minorHAnsi"/>
          <w:sz w:val="21"/>
          <w:szCs w:val="21"/>
        </w:rPr>
      </w:pPr>
      <w:r>
        <w:rPr>
          <w:rFonts w:cstheme="minorHAnsi"/>
          <w:b/>
          <w:sz w:val="21"/>
          <w:szCs w:val="21"/>
        </w:rPr>
        <w:t xml:space="preserve">Following a Judicial Review in May 2023, </w:t>
      </w:r>
      <w:r w:rsidR="002323FD" w:rsidRPr="00AC4100">
        <w:rPr>
          <w:rFonts w:cstheme="minorHAnsi"/>
          <w:b/>
          <w:sz w:val="21"/>
          <w:szCs w:val="21"/>
        </w:rPr>
        <w:t xml:space="preserve">Lord Braid found City of Edinburgh Council’s </w:t>
      </w:r>
      <w:r w:rsidR="00E6763F">
        <w:rPr>
          <w:rFonts w:cstheme="minorHAnsi"/>
          <w:b/>
          <w:sz w:val="21"/>
          <w:szCs w:val="21"/>
        </w:rPr>
        <w:t xml:space="preserve">licensing </w:t>
      </w:r>
      <w:r w:rsidR="002323FD" w:rsidRPr="00AC4100">
        <w:rPr>
          <w:rFonts w:cstheme="minorHAnsi"/>
          <w:b/>
          <w:sz w:val="21"/>
          <w:szCs w:val="21"/>
        </w:rPr>
        <w:t>policy to be unlawful at common law and in breach of The Provision of Services Regulations 2009</w:t>
      </w:r>
      <w:r>
        <w:rPr>
          <w:rFonts w:cstheme="minorHAnsi"/>
          <w:b/>
          <w:sz w:val="21"/>
          <w:szCs w:val="21"/>
        </w:rPr>
        <w:t>.</w:t>
      </w:r>
      <w:r w:rsidR="002323FD" w:rsidRPr="00AC4100">
        <w:rPr>
          <w:rFonts w:cstheme="minorHAnsi"/>
          <w:b/>
          <w:sz w:val="21"/>
          <w:szCs w:val="21"/>
        </w:rPr>
        <w:t xml:space="preserve"> </w:t>
      </w:r>
      <w:r w:rsidR="002323FD" w:rsidRPr="00487A84">
        <w:rPr>
          <w:rFonts w:cstheme="minorHAnsi"/>
          <w:sz w:val="21"/>
          <w:szCs w:val="21"/>
        </w:rPr>
        <w:t xml:space="preserve">This decision has identified material deficiencies in many other </w:t>
      </w:r>
      <w:r>
        <w:rPr>
          <w:rFonts w:cstheme="minorHAnsi"/>
          <w:sz w:val="21"/>
          <w:szCs w:val="21"/>
        </w:rPr>
        <w:t>L</w:t>
      </w:r>
      <w:r w:rsidR="002323FD" w:rsidRPr="00487A84">
        <w:rPr>
          <w:rFonts w:cstheme="minorHAnsi"/>
          <w:sz w:val="21"/>
          <w:szCs w:val="21"/>
        </w:rPr>
        <w:t xml:space="preserve">ocal </w:t>
      </w:r>
      <w:r>
        <w:rPr>
          <w:rFonts w:cstheme="minorHAnsi"/>
          <w:sz w:val="21"/>
          <w:szCs w:val="21"/>
        </w:rPr>
        <w:t>A</w:t>
      </w:r>
      <w:r w:rsidR="002323FD" w:rsidRPr="00487A84">
        <w:rPr>
          <w:rFonts w:cstheme="minorHAnsi"/>
          <w:sz w:val="21"/>
          <w:szCs w:val="21"/>
        </w:rPr>
        <w:t xml:space="preserve">uthorities </w:t>
      </w:r>
      <w:r>
        <w:rPr>
          <w:rFonts w:cstheme="minorHAnsi"/>
          <w:sz w:val="21"/>
          <w:szCs w:val="21"/>
        </w:rPr>
        <w:t xml:space="preserve">with policies which are also </w:t>
      </w:r>
      <w:r w:rsidR="002323FD" w:rsidRPr="00487A84">
        <w:rPr>
          <w:rFonts w:cstheme="minorHAnsi"/>
          <w:b/>
          <w:bCs/>
          <w:sz w:val="21"/>
          <w:szCs w:val="21"/>
          <w:lang w:val="en-US"/>
        </w:rPr>
        <w:t>irrational, oppressive and represent unnecessary duplication</w:t>
      </w:r>
      <w:r w:rsidR="002323FD" w:rsidRPr="00487A84">
        <w:rPr>
          <w:rFonts w:cstheme="minorHAnsi"/>
          <w:bCs/>
          <w:sz w:val="21"/>
          <w:szCs w:val="21"/>
          <w:lang w:val="en-US"/>
        </w:rPr>
        <w:t xml:space="preserve">. </w:t>
      </w:r>
      <w:r w:rsidR="002323FD" w:rsidRPr="0095027D">
        <w:rPr>
          <w:rFonts w:cstheme="minorHAnsi"/>
          <w:bCs/>
          <w:sz w:val="21"/>
          <w:szCs w:val="21"/>
        </w:rPr>
        <w:t xml:space="preserve">The </w:t>
      </w:r>
      <w:r w:rsidR="002323FD" w:rsidRPr="0095027D">
        <w:rPr>
          <w:rFonts w:eastAsia="Times New Roman" w:cstheme="minorHAnsi"/>
          <w:bCs/>
          <w:sz w:val="21"/>
          <w:szCs w:val="21"/>
        </w:rPr>
        <w:t>ASSC has instructed further legal action on this basis</w:t>
      </w:r>
      <w:r w:rsidRPr="0095027D">
        <w:rPr>
          <w:rFonts w:cstheme="minorHAnsi"/>
          <w:bCs/>
          <w:sz w:val="21"/>
          <w:szCs w:val="21"/>
        </w:rPr>
        <w:t xml:space="preserve"> as it is not clear that following Lord Braid’s judgement, other Local Authorities are amending their respective policies. </w:t>
      </w:r>
    </w:p>
    <w:p w14:paraId="608F2B31" w14:textId="6F78DA4E" w:rsidR="002513CB" w:rsidRPr="00487A84" w:rsidRDefault="002513CB" w:rsidP="002513CB">
      <w:pPr>
        <w:rPr>
          <w:rFonts w:cstheme="minorHAnsi"/>
          <w:b/>
          <w:bCs/>
          <w:sz w:val="21"/>
          <w:szCs w:val="21"/>
        </w:rPr>
      </w:pPr>
    </w:p>
    <w:p w14:paraId="0A5BC492" w14:textId="1375CBBF" w:rsidR="002513CB" w:rsidRPr="00487A84" w:rsidRDefault="002513CB" w:rsidP="002513CB">
      <w:pPr>
        <w:rPr>
          <w:rFonts w:cstheme="minorHAnsi"/>
          <w:b/>
          <w:bCs/>
          <w:sz w:val="21"/>
          <w:szCs w:val="21"/>
        </w:rPr>
      </w:pPr>
      <w:r w:rsidRPr="00487A84">
        <w:rPr>
          <w:rFonts w:cstheme="minorHAnsi"/>
          <w:b/>
          <w:sz w:val="21"/>
          <w:szCs w:val="21"/>
        </w:rPr>
        <w:t>A</w:t>
      </w:r>
      <w:r w:rsidRPr="00487A84">
        <w:rPr>
          <w:rFonts w:cstheme="minorHAnsi"/>
          <w:sz w:val="21"/>
          <w:szCs w:val="21"/>
        </w:rPr>
        <w:t xml:space="preserve"> </w:t>
      </w:r>
      <w:r w:rsidRPr="00487A84">
        <w:rPr>
          <w:rFonts w:cstheme="minorHAnsi"/>
          <w:b/>
          <w:sz w:val="21"/>
          <w:szCs w:val="21"/>
        </w:rPr>
        <w:t>judicial review of City of Edinburgh Council’s planning policy</w:t>
      </w:r>
      <w:r w:rsidRPr="00487A84">
        <w:rPr>
          <w:rFonts w:cstheme="minorHAnsi"/>
          <w:sz w:val="21"/>
          <w:szCs w:val="21"/>
        </w:rPr>
        <w:t xml:space="preserve"> has now </w:t>
      </w:r>
      <w:r w:rsidR="0095027D">
        <w:rPr>
          <w:rFonts w:cstheme="minorHAnsi"/>
          <w:sz w:val="21"/>
          <w:szCs w:val="21"/>
        </w:rPr>
        <w:t xml:space="preserve">also </w:t>
      </w:r>
      <w:r w:rsidRPr="00487A84">
        <w:rPr>
          <w:rFonts w:cstheme="minorHAnsi"/>
          <w:sz w:val="21"/>
          <w:szCs w:val="21"/>
        </w:rPr>
        <w:t xml:space="preserve">been instructed on the basis that long-standing legitimate businesses are </w:t>
      </w:r>
      <w:r w:rsidR="005153B5">
        <w:rPr>
          <w:rFonts w:cstheme="minorHAnsi"/>
          <w:sz w:val="21"/>
          <w:szCs w:val="21"/>
        </w:rPr>
        <w:t xml:space="preserve">being forced to apply for, but </w:t>
      </w:r>
      <w:r w:rsidR="009321EA" w:rsidRPr="00487A84">
        <w:rPr>
          <w:rFonts w:cstheme="minorHAnsi"/>
          <w:sz w:val="21"/>
          <w:szCs w:val="21"/>
        </w:rPr>
        <w:t>not achieving</w:t>
      </w:r>
      <w:r w:rsidR="005153B5">
        <w:rPr>
          <w:rFonts w:cstheme="minorHAnsi"/>
          <w:sz w:val="21"/>
          <w:szCs w:val="21"/>
        </w:rPr>
        <w:t>,</w:t>
      </w:r>
      <w:r w:rsidR="009321EA" w:rsidRPr="00487A84">
        <w:rPr>
          <w:rFonts w:cstheme="minorHAnsi"/>
          <w:sz w:val="21"/>
          <w:szCs w:val="21"/>
        </w:rPr>
        <w:t xml:space="preserve"> planning permission and livelihoods are being taken away from lawful operators.</w:t>
      </w:r>
    </w:p>
    <w:p w14:paraId="4D17BE11" w14:textId="22E360DA" w:rsidR="002513CB" w:rsidRPr="00487A84" w:rsidRDefault="002513CB" w:rsidP="002513CB">
      <w:pPr>
        <w:rPr>
          <w:rFonts w:cstheme="minorHAnsi"/>
          <w:sz w:val="21"/>
          <w:szCs w:val="21"/>
        </w:rPr>
      </w:pPr>
    </w:p>
    <w:p w14:paraId="6C1D3BA1" w14:textId="3F7838D0" w:rsidR="00AD6572" w:rsidRPr="00F611C8" w:rsidRDefault="00BE0ABE" w:rsidP="002513CB">
      <w:pPr>
        <w:rPr>
          <w:rStyle w:val="apple-converted-space"/>
          <w:rFonts w:cstheme="minorHAnsi"/>
          <w:b/>
          <w:sz w:val="21"/>
          <w:szCs w:val="21"/>
          <w:u w:val="single"/>
        </w:rPr>
      </w:pPr>
      <w:r w:rsidRPr="00F611C8">
        <w:rPr>
          <w:rFonts w:cstheme="minorHAnsi"/>
          <w:b/>
          <w:sz w:val="21"/>
          <w:szCs w:val="21"/>
          <w:u w:val="single"/>
        </w:rPr>
        <w:t>Operators Leaving the Sector</w:t>
      </w:r>
    </w:p>
    <w:p w14:paraId="739C1103" w14:textId="29160786" w:rsidR="00AD6572" w:rsidRDefault="00BE0ABE" w:rsidP="002513CB">
      <w:pPr>
        <w:rPr>
          <w:rFonts w:cstheme="minorHAnsi"/>
          <w:b/>
          <w:color w:val="000000" w:themeColor="text1"/>
          <w:spacing w:val="-3"/>
          <w:sz w:val="21"/>
          <w:szCs w:val="21"/>
          <w:shd w:val="clear" w:color="auto" w:fill="FFFFFF"/>
        </w:rPr>
      </w:pPr>
      <w:r>
        <w:rPr>
          <w:rFonts w:cstheme="minorHAnsi"/>
          <w:b/>
          <w:color w:val="000000" w:themeColor="text1"/>
          <w:spacing w:val="-3"/>
          <w:sz w:val="21"/>
          <w:szCs w:val="21"/>
          <w:shd w:val="clear" w:color="auto" w:fill="FFFFFF"/>
        </w:rPr>
        <w:t xml:space="preserve">In the most recent ASSC survey </w:t>
      </w:r>
      <w:r w:rsidR="00AD6572" w:rsidRPr="00F10293">
        <w:rPr>
          <w:rFonts w:cstheme="minorHAnsi"/>
          <w:b/>
          <w:color w:val="000000" w:themeColor="text1"/>
          <w:sz w:val="21"/>
          <w:szCs w:val="21"/>
        </w:rPr>
        <w:t>61% of 1225 respondents</w:t>
      </w:r>
      <w:r>
        <w:rPr>
          <w:rFonts w:cstheme="minorHAnsi"/>
          <w:b/>
          <w:color w:val="000000" w:themeColor="text1"/>
          <w:sz w:val="21"/>
          <w:szCs w:val="21"/>
        </w:rPr>
        <w:t xml:space="preserve"> are </w:t>
      </w:r>
      <w:r w:rsidR="00AD6572" w:rsidRPr="00F10293">
        <w:rPr>
          <w:rFonts w:cstheme="minorHAnsi"/>
          <w:b/>
          <w:color w:val="000000" w:themeColor="text1"/>
          <w:sz w:val="21"/>
          <w:szCs w:val="21"/>
        </w:rPr>
        <w:t>contemplating leaving the sector.</w:t>
      </w:r>
      <w:r w:rsidR="00AD6572" w:rsidRPr="00487A84">
        <w:rPr>
          <w:rFonts w:cstheme="minorHAnsi"/>
          <w:color w:val="000000" w:themeColor="text1"/>
          <w:sz w:val="21"/>
          <w:szCs w:val="21"/>
        </w:rPr>
        <w:t> Of those, 36% are actively considering leaving, while 25% remain undecided</w:t>
      </w:r>
      <w:r w:rsidR="00AD6572" w:rsidRPr="00487A84">
        <w:rPr>
          <w:rStyle w:val="FootnoteReference"/>
          <w:rFonts w:cstheme="minorHAnsi"/>
          <w:color w:val="000000" w:themeColor="text1"/>
          <w:sz w:val="21"/>
          <w:szCs w:val="21"/>
        </w:rPr>
        <w:footnoteReference w:id="2"/>
      </w:r>
      <w:r w:rsidR="00AD6572" w:rsidRPr="00487A84">
        <w:rPr>
          <w:rFonts w:cstheme="minorHAnsi"/>
          <w:color w:val="000000" w:themeColor="text1"/>
          <w:sz w:val="21"/>
          <w:szCs w:val="21"/>
        </w:rPr>
        <w:t xml:space="preserve">. </w:t>
      </w:r>
    </w:p>
    <w:p w14:paraId="28C530FA" w14:textId="77777777" w:rsidR="00B33DA0" w:rsidRDefault="00B33DA0" w:rsidP="00B33DA0">
      <w:pPr>
        <w:rPr>
          <w:rFonts w:ascii="Calibri" w:hAnsi="Calibri" w:cs="Calibri"/>
          <w:b/>
          <w:color w:val="000000"/>
          <w:sz w:val="21"/>
          <w:szCs w:val="21"/>
          <w:u w:val="single"/>
        </w:rPr>
      </w:pPr>
    </w:p>
    <w:p w14:paraId="2FF4B98B" w14:textId="42F4F4EF" w:rsidR="00B33DA0" w:rsidRPr="00406D7A" w:rsidRDefault="00543325" w:rsidP="00B33DA0">
      <w:pPr>
        <w:rPr>
          <w:sz w:val="21"/>
          <w:szCs w:val="21"/>
        </w:rPr>
      </w:pPr>
      <w:r>
        <w:rPr>
          <w:sz w:val="21"/>
          <w:szCs w:val="21"/>
        </w:rPr>
        <w:t>B</w:t>
      </w:r>
      <w:r w:rsidR="00B33DA0">
        <w:rPr>
          <w:sz w:val="21"/>
          <w:szCs w:val="21"/>
        </w:rPr>
        <w:t>urden</w:t>
      </w:r>
      <w:r w:rsidR="00305E49">
        <w:rPr>
          <w:sz w:val="21"/>
          <w:szCs w:val="21"/>
        </w:rPr>
        <w:t xml:space="preserve">s </w:t>
      </w:r>
      <w:r>
        <w:rPr>
          <w:sz w:val="21"/>
          <w:szCs w:val="21"/>
        </w:rPr>
        <w:t>associated with short-term let licensing</w:t>
      </w:r>
      <w:r w:rsidR="00305E49">
        <w:rPr>
          <w:sz w:val="21"/>
          <w:szCs w:val="21"/>
        </w:rPr>
        <w:t xml:space="preserve"> </w:t>
      </w:r>
      <w:r w:rsidR="00B33DA0">
        <w:rPr>
          <w:sz w:val="21"/>
          <w:szCs w:val="21"/>
        </w:rPr>
        <w:t>include:</w:t>
      </w:r>
    </w:p>
    <w:p w14:paraId="5A7ED15A" w14:textId="6EF938AD" w:rsidR="00B33DA0" w:rsidRPr="00406D7A" w:rsidRDefault="00F43B20" w:rsidP="00B33DA0">
      <w:pPr>
        <w:pStyle w:val="ListParagraph"/>
        <w:numPr>
          <w:ilvl w:val="0"/>
          <w:numId w:val="9"/>
        </w:numPr>
        <w:rPr>
          <w:sz w:val="21"/>
          <w:szCs w:val="21"/>
        </w:rPr>
      </w:pPr>
      <w:r>
        <w:rPr>
          <w:sz w:val="21"/>
          <w:szCs w:val="21"/>
        </w:rPr>
        <w:t>Fi</w:t>
      </w:r>
      <w:r w:rsidR="00B33DA0" w:rsidRPr="00406D7A">
        <w:rPr>
          <w:sz w:val="21"/>
          <w:szCs w:val="21"/>
        </w:rPr>
        <w:t>lling in complex</w:t>
      </w:r>
      <w:r w:rsidR="00B33DA0">
        <w:rPr>
          <w:sz w:val="21"/>
          <w:szCs w:val="21"/>
        </w:rPr>
        <w:t>,</w:t>
      </w:r>
      <w:r w:rsidR="00B33DA0" w:rsidRPr="00406D7A">
        <w:rPr>
          <w:sz w:val="21"/>
          <w:szCs w:val="21"/>
        </w:rPr>
        <w:t xml:space="preserve"> detailed forms</w:t>
      </w:r>
      <w:r w:rsidR="00B33DA0">
        <w:rPr>
          <w:sz w:val="21"/>
          <w:szCs w:val="21"/>
        </w:rPr>
        <w:t xml:space="preserve"> (running to 42 pages)</w:t>
      </w:r>
      <w:r w:rsidR="00543325">
        <w:rPr>
          <w:sz w:val="21"/>
          <w:szCs w:val="21"/>
        </w:rPr>
        <w:t>.</w:t>
      </w:r>
      <w:r w:rsidR="00305E49">
        <w:rPr>
          <w:sz w:val="21"/>
          <w:szCs w:val="21"/>
        </w:rPr>
        <w:t xml:space="preserve"> </w:t>
      </w:r>
      <w:r w:rsidR="00543325">
        <w:rPr>
          <w:sz w:val="21"/>
          <w:szCs w:val="21"/>
        </w:rPr>
        <w:t xml:space="preserve">Some licensing authorities </w:t>
      </w:r>
      <w:r w:rsidR="00305E49">
        <w:rPr>
          <w:sz w:val="21"/>
          <w:szCs w:val="21"/>
        </w:rPr>
        <w:t xml:space="preserve">only </w:t>
      </w:r>
      <w:r w:rsidR="00543325">
        <w:rPr>
          <w:sz w:val="21"/>
          <w:szCs w:val="21"/>
        </w:rPr>
        <w:t xml:space="preserve">accept </w:t>
      </w:r>
      <w:r w:rsidR="00305E49">
        <w:rPr>
          <w:sz w:val="21"/>
          <w:szCs w:val="21"/>
        </w:rPr>
        <w:t xml:space="preserve">online </w:t>
      </w:r>
      <w:r w:rsidR="00543325">
        <w:rPr>
          <w:sz w:val="21"/>
          <w:szCs w:val="21"/>
        </w:rPr>
        <w:t xml:space="preserve">applications, with no save option, </w:t>
      </w:r>
      <w:r w:rsidR="00305E49">
        <w:rPr>
          <w:sz w:val="21"/>
          <w:szCs w:val="21"/>
        </w:rPr>
        <w:t>discriminating against those with limited internet access and the elderly</w:t>
      </w:r>
    </w:p>
    <w:p w14:paraId="4E324AF4" w14:textId="07137FC1" w:rsidR="00B33DA0" w:rsidRPr="00406D7A" w:rsidRDefault="00305E49" w:rsidP="00B33DA0">
      <w:pPr>
        <w:pStyle w:val="ListParagraph"/>
        <w:numPr>
          <w:ilvl w:val="0"/>
          <w:numId w:val="9"/>
        </w:numPr>
        <w:rPr>
          <w:sz w:val="21"/>
          <w:szCs w:val="21"/>
        </w:rPr>
      </w:pPr>
      <w:r>
        <w:rPr>
          <w:sz w:val="21"/>
          <w:szCs w:val="21"/>
        </w:rPr>
        <w:lastRenderedPageBreak/>
        <w:t>Non-refundable l</w:t>
      </w:r>
      <w:r w:rsidR="00B33DA0" w:rsidRPr="00406D7A">
        <w:rPr>
          <w:sz w:val="21"/>
          <w:szCs w:val="21"/>
        </w:rPr>
        <w:t>icence application</w:t>
      </w:r>
      <w:r w:rsidR="00B33DA0">
        <w:rPr>
          <w:sz w:val="21"/>
          <w:szCs w:val="21"/>
        </w:rPr>
        <w:t xml:space="preserve"> fee</w:t>
      </w:r>
      <w:r w:rsidR="00F43B20">
        <w:rPr>
          <w:sz w:val="21"/>
          <w:szCs w:val="21"/>
        </w:rPr>
        <w:t>s</w:t>
      </w:r>
      <w:r w:rsidR="00B33DA0">
        <w:rPr>
          <w:sz w:val="21"/>
          <w:szCs w:val="21"/>
        </w:rPr>
        <w:t xml:space="preserve"> </w:t>
      </w:r>
      <w:r>
        <w:rPr>
          <w:sz w:val="21"/>
          <w:szCs w:val="21"/>
        </w:rPr>
        <w:t xml:space="preserve">of up to </w:t>
      </w:r>
      <w:r w:rsidR="00B33DA0">
        <w:rPr>
          <w:sz w:val="21"/>
          <w:szCs w:val="21"/>
        </w:rPr>
        <w:t xml:space="preserve">£5962 for </w:t>
      </w:r>
      <w:r>
        <w:rPr>
          <w:sz w:val="21"/>
          <w:szCs w:val="21"/>
        </w:rPr>
        <w:t xml:space="preserve">a </w:t>
      </w:r>
      <w:r w:rsidR="00B33DA0">
        <w:rPr>
          <w:sz w:val="21"/>
          <w:szCs w:val="21"/>
        </w:rPr>
        <w:t>one</w:t>
      </w:r>
      <w:r w:rsidR="00F43B20">
        <w:rPr>
          <w:sz w:val="21"/>
          <w:szCs w:val="21"/>
        </w:rPr>
        <w:t>-</w:t>
      </w:r>
      <w:r w:rsidR="00B33DA0">
        <w:rPr>
          <w:sz w:val="21"/>
          <w:szCs w:val="21"/>
        </w:rPr>
        <w:t>year licence</w:t>
      </w:r>
      <w:r w:rsidR="00F43B20">
        <w:rPr>
          <w:sz w:val="21"/>
          <w:szCs w:val="21"/>
        </w:rPr>
        <w:t>,</w:t>
      </w:r>
      <w:r w:rsidR="00B33DA0">
        <w:rPr>
          <w:sz w:val="21"/>
          <w:szCs w:val="21"/>
        </w:rPr>
        <w:t xml:space="preserve"> </w:t>
      </w:r>
      <w:r w:rsidR="00F43B20">
        <w:rPr>
          <w:sz w:val="21"/>
          <w:szCs w:val="21"/>
        </w:rPr>
        <w:t>with</w:t>
      </w:r>
      <w:r>
        <w:rPr>
          <w:sz w:val="21"/>
          <w:szCs w:val="21"/>
        </w:rPr>
        <w:t xml:space="preserve"> no presumption to grant licenses.</w:t>
      </w:r>
    </w:p>
    <w:p w14:paraId="7A7243A3" w14:textId="03566369" w:rsidR="00B33DA0" w:rsidRPr="00406D7A" w:rsidRDefault="00305E49" w:rsidP="00B33DA0">
      <w:pPr>
        <w:pStyle w:val="ListParagraph"/>
        <w:numPr>
          <w:ilvl w:val="0"/>
          <w:numId w:val="9"/>
        </w:numPr>
        <w:rPr>
          <w:sz w:val="21"/>
          <w:szCs w:val="21"/>
        </w:rPr>
      </w:pPr>
      <w:r>
        <w:rPr>
          <w:sz w:val="21"/>
          <w:szCs w:val="21"/>
        </w:rPr>
        <w:t>H</w:t>
      </w:r>
      <w:r w:rsidR="00B33DA0">
        <w:rPr>
          <w:sz w:val="21"/>
          <w:szCs w:val="21"/>
        </w:rPr>
        <w:t>aving to provide complicated</w:t>
      </w:r>
      <w:r w:rsidR="00B33DA0" w:rsidRPr="00406D7A">
        <w:rPr>
          <w:sz w:val="21"/>
          <w:szCs w:val="21"/>
        </w:rPr>
        <w:t xml:space="preserve"> scale floor plans to assist with maximum occupancy</w:t>
      </w:r>
      <w:r w:rsidR="00B33DA0">
        <w:rPr>
          <w:sz w:val="21"/>
          <w:szCs w:val="21"/>
        </w:rPr>
        <w:t xml:space="preserve"> where this is not a legislative requirement</w:t>
      </w:r>
      <w:r>
        <w:rPr>
          <w:sz w:val="21"/>
          <w:szCs w:val="21"/>
        </w:rPr>
        <w:t>.</w:t>
      </w:r>
      <w:r w:rsidR="00B970AF">
        <w:rPr>
          <w:sz w:val="21"/>
          <w:szCs w:val="21"/>
        </w:rPr>
        <w:t xml:space="preserve"> These are immensely difficult to procure in remote rural locations. (one member had to pay £2,300 for a floor plan)  </w:t>
      </w:r>
    </w:p>
    <w:p w14:paraId="0C99AB9F" w14:textId="32EEC863" w:rsidR="00B33DA0" w:rsidRDefault="00305E49" w:rsidP="00B33DA0">
      <w:pPr>
        <w:pStyle w:val="ListParagraph"/>
        <w:numPr>
          <w:ilvl w:val="0"/>
          <w:numId w:val="9"/>
        </w:numPr>
        <w:rPr>
          <w:sz w:val="21"/>
          <w:szCs w:val="21"/>
        </w:rPr>
      </w:pPr>
      <w:r>
        <w:rPr>
          <w:sz w:val="21"/>
          <w:szCs w:val="21"/>
        </w:rPr>
        <w:t>W</w:t>
      </w:r>
      <w:r w:rsidR="00B33DA0" w:rsidRPr="00406D7A">
        <w:rPr>
          <w:sz w:val="21"/>
          <w:szCs w:val="21"/>
        </w:rPr>
        <w:t xml:space="preserve">aiting </w:t>
      </w:r>
      <w:r w:rsidR="00B33DA0">
        <w:rPr>
          <w:sz w:val="21"/>
          <w:szCs w:val="21"/>
        </w:rPr>
        <w:t xml:space="preserve">up to 12 </w:t>
      </w:r>
      <w:r w:rsidR="00B33DA0" w:rsidRPr="00406D7A">
        <w:rPr>
          <w:sz w:val="21"/>
          <w:szCs w:val="21"/>
        </w:rPr>
        <w:t xml:space="preserve">months for </w:t>
      </w:r>
      <w:r w:rsidR="00B33DA0">
        <w:rPr>
          <w:sz w:val="21"/>
          <w:szCs w:val="21"/>
        </w:rPr>
        <w:t>an application to be considered by</w:t>
      </w:r>
      <w:r w:rsidR="00B33DA0" w:rsidRPr="00406D7A">
        <w:rPr>
          <w:sz w:val="21"/>
          <w:szCs w:val="21"/>
        </w:rPr>
        <w:t xml:space="preserve"> the licensing authority</w:t>
      </w:r>
      <w:r>
        <w:rPr>
          <w:sz w:val="21"/>
          <w:szCs w:val="21"/>
        </w:rPr>
        <w:t>.</w:t>
      </w:r>
    </w:p>
    <w:p w14:paraId="57970EDE" w14:textId="60E36071" w:rsidR="00B970AF" w:rsidRDefault="00305E49" w:rsidP="00B33DA0">
      <w:pPr>
        <w:pStyle w:val="ListParagraph"/>
        <w:numPr>
          <w:ilvl w:val="0"/>
          <w:numId w:val="9"/>
        </w:numPr>
        <w:rPr>
          <w:sz w:val="21"/>
          <w:szCs w:val="21"/>
        </w:rPr>
      </w:pPr>
      <w:r>
        <w:rPr>
          <w:sz w:val="21"/>
          <w:szCs w:val="21"/>
        </w:rPr>
        <w:t>N</w:t>
      </w:r>
      <w:r w:rsidR="00B33DA0">
        <w:rPr>
          <w:sz w:val="21"/>
          <w:szCs w:val="21"/>
        </w:rPr>
        <w:t xml:space="preserve">ew operators having to wait for a licence to be granted prior to </w:t>
      </w:r>
      <w:r w:rsidR="00B970AF">
        <w:rPr>
          <w:sz w:val="21"/>
          <w:szCs w:val="21"/>
        </w:rPr>
        <w:t>be able to trade</w:t>
      </w:r>
    </w:p>
    <w:p w14:paraId="7E599959" w14:textId="1E504C81" w:rsidR="00B33DA0" w:rsidRPr="00B970AF" w:rsidRDefault="00B33DA0" w:rsidP="00B970AF">
      <w:pPr>
        <w:ind w:left="720"/>
        <w:rPr>
          <w:sz w:val="21"/>
          <w:szCs w:val="21"/>
        </w:rPr>
      </w:pPr>
      <w:r w:rsidRPr="00B970AF">
        <w:rPr>
          <w:sz w:val="21"/>
          <w:szCs w:val="21"/>
        </w:rPr>
        <w:t>which can take up to 9 months</w:t>
      </w:r>
      <w:r w:rsidR="00305E49" w:rsidRPr="00B970AF">
        <w:rPr>
          <w:sz w:val="21"/>
          <w:szCs w:val="21"/>
        </w:rPr>
        <w:t xml:space="preserve">. This means that they cannot finance their investment as lenders in this sector will </w:t>
      </w:r>
      <w:r w:rsidR="00B970AF">
        <w:rPr>
          <w:sz w:val="21"/>
          <w:szCs w:val="21"/>
        </w:rPr>
        <w:t xml:space="preserve">not lend with no license granted. </w:t>
      </w:r>
      <w:r w:rsidR="00380BE7">
        <w:rPr>
          <w:sz w:val="21"/>
          <w:szCs w:val="21"/>
        </w:rPr>
        <w:t>This was raised in the Red Flags document.</w:t>
      </w:r>
    </w:p>
    <w:p w14:paraId="6D64B76B" w14:textId="4788F120" w:rsidR="003834E2" w:rsidRDefault="00B970AF" w:rsidP="003834E2">
      <w:pPr>
        <w:pStyle w:val="ListParagraph"/>
        <w:numPr>
          <w:ilvl w:val="0"/>
          <w:numId w:val="9"/>
        </w:numPr>
        <w:rPr>
          <w:sz w:val="21"/>
          <w:szCs w:val="21"/>
        </w:rPr>
      </w:pPr>
      <w:r>
        <w:rPr>
          <w:sz w:val="21"/>
          <w:szCs w:val="21"/>
        </w:rPr>
        <w:t>T</w:t>
      </w:r>
      <w:r w:rsidR="00B33DA0">
        <w:rPr>
          <w:sz w:val="21"/>
          <w:szCs w:val="21"/>
        </w:rPr>
        <w:t xml:space="preserve">he uncertainty </w:t>
      </w:r>
      <w:r>
        <w:rPr>
          <w:sz w:val="21"/>
          <w:szCs w:val="21"/>
        </w:rPr>
        <w:t xml:space="preserve">around the ability to gain a license </w:t>
      </w:r>
      <w:r w:rsidR="00B33DA0">
        <w:rPr>
          <w:sz w:val="21"/>
          <w:szCs w:val="21"/>
        </w:rPr>
        <w:t xml:space="preserve">has </w:t>
      </w:r>
      <w:r>
        <w:rPr>
          <w:sz w:val="21"/>
          <w:szCs w:val="21"/>
        </w:rPr>
        <w:t xml:space="preserve">meant that securing lending has effectively </w:t>
      </w:r>
      <w:r w:rsidR="00B33DA0">
        <w:rPr>
          <w:sz w:val="21"/>
          <w:szCs w:val="21"/>
        </w:rPr>
        <w:t xml:space="preserve">stopped </w:t>
      </w:r>
      <w:r>
        <w:rPr>
          <w:sz w:val="21"/>
          <w:szCs w:val="21"/>
        </w:rPr>
        <w:t>i</w:t>
      </w:r>
      <w:r w:rsidR="00B33DA0">
        <w:rPr>
          <w:sz w:val="21"/>
          <w:szCs w:val="21"/>
        </w:rPr>
        <w:t>n Scotland</w:t>
      </w:r>
      <w:r w:rsidR="00B33DA0">
        <w:rPr>
          <w:rStyle w:val="FootnoteReference"/>
          <w:sz w:val="21"/>
          <w:szCs w:val="21"/>
        </w:rPr>
        <w:footnoteReference w:id="3"/>
      </w:r>
      <w:r w:rsidR="00B33DA0">
        <w:rPr>
          <w:sz w:val="21"/>
          <w:szCs w:val="21"/>
        </w:rPr>
        <w:t>, dis</w:t>
      </w:r>
      <w:r>
        <w:rPr>
          <w:sz w:val="21"/>
          <w:szCs w:val="21"/>
        </w:rPr>
        <w:t xml:space="preserve">criminating against business here </w:t>
      </w:r>
      <w:r w:rsidR="00B33DA0">
        <w:rPr>
          <w:sz w:val="21"/>
          <w:szCs w:val="21"/>
        </w:rPr>
        <w:t>compared to the rest of the UK.</w:t>
      </w:r>
      <w:r w:rsidR="00380BE7">
        <w:rPr>
          <w:sz w:val="21"/>
          <w:szCs w:val="21"/>
        </w:rPr>
        <w:t xml:space="preserve"> This was raised in the Red Flags document. </w:t>
      </w:r>
    </w:p>
    <w:p w14:paraId="0887EA4C" w14:textId="63C13777" w:rsidR="009D2847" w:rsidRPr="003834E2" w:rsidRDefault="009D2847" w:rsidP="003834E2">
      <w:pPr>
        <w:pStyle w:val="ListParagraph"/>
        <w:numPr>
          <w:ilvl w:val="0"/>
          <w:numId w:val="9"/>
        </w:numPr>
        <w:rPr>
          <w:sz w:val="21"/>
          <w:szCs w:val="21"/>
        </w:rPr>
      </w:pPr>
      <w:r w:rsidRPr="003834E2">
        <w:rPr>
          <w:rFonts w:eastAsia="Times New Roman" w:cstheme="minorHAnsi"/>
          <w:sz w:val="21"/>
          <w:szCs w:val="21"/>
          <w:shd w:val="clear" w:color="auto" w:fill="FFFFFF"/>
        </w:rPr>
        <w:t>It is now impossible to sell a short term let property as a going concern because the licence is not transferable</w:t>
      </w:r>
      <w:r w:rsidR="00B970AF">
        <w:rPr>
          <w:rFonts w:eastAsia="Times New Roman" w:cstheme="minorHAnsi"/>
          <w:sz w:val="21"/>
          <w:szCs w:val="21"/>
          <w:shd w:val="clear" w:color="auto" w:fill="FFFFFF"/>
        </w:rPr>
        <w:t xml:space="preserve"> and therefore the going concern aspect stops when the seller stops trading. This is because </w:t>
      </w:r>
      <w:r w:rsidR="00380BE7">
        <w:rPr>
          <w:rFonts w:eastAsia="Times New Roman" w:cstheme="minorHAnsi"/>
          <w:sz w:val="21"/>
          <w:szCs w:val="21"/>
          <w:shd w:val="clear" w:color="auto" w:fill="FFFFFF"/>
        </w:rPr>
        <w:t>provisional licenses are not available to resolve this business dilemma. It also precludes borrowing as l</w:t>
      </w:r>
      <w:r w:rsidRPr="003834E2">
        <w:rPr>
          <w:rFonts w:eastAsia="Times New Roman" w:cstheme="minorHAnsi"/>
          <w:sz w:val="21"/>
          <w:szCs w:val="21"/>
          <w:shd w:val="clear" w:color="auto" w:fill="FFFFFF"/>
        </w:rPr>
        <w:t>enders require a licence in place before they will grant a mortgage. </w:t>
      </w:r>
      <w:r w:rsidR="00380BE7">
        <w:rPr>
          <w:rFonts w:eastAsia="Times New Roman" w:cstheme="minorHAnsi"/>
          <w:sz w:val="21"/>
          <w:szCs w:val="21"/>
          <w:shd w:val="clear" w:color="auto" w:fill="FFFFFF"/>
        </w:rPr>
        <w:t xml:space="preserve">This was raised in the Red Flags document. </w:t>
      </w:r>
    </w:p>
    <w:p w14:paraId="7B9D1066" w14:textId="77777777" w:rsidR="009D2847" w:rsidRPr="009D2847" w:rsidRDefault="009D2847" w:rsidP="009D2847">
      <w:pPr>
        <w:pStyle w:val="ListParagraph"/>
        <w:rPr>
          <w:sz w:val="21"/>
          <w:szCs w:val="21"/>
        </w:rPr>
      </w:pPr>
    </w:p>
    <w:p w14:paraId="06F3D55B" w14:textId="54EE0136" w:rsidR="00380BE7" w:rsidRDefault="00B33DA0" w:rsidP="00B33DA0">
      <w:pPr>
        <w:rPr>
          <w:sz w:val="21"/>
          <w:szCs w:val="21"/>
        </w:rPr>
      </w:pPr>
      <w:r w:rsidRPr="00406D7A">
        <w:rPr>
          <w:sz w:val="21"/>
          <w:szCs w:val="21"/>
        </w:rPr>
        <w:t>Significant business closures will have </w:t>
      </w:r>
      <w:r w:rsidR="00380BE7">
        <w:rPr>
          <w:sz w:val="21"/>
          <w:szCs w:val="21"/>
        </w:rPr>
        <w:t xml:space="preserve">large scale </w:t>
      </w:r>
      <w:r w:rsidRPr="00406D7A">
        <w:rPr>
          <w:sz w:val="21"/>
          <w:szCs w:val="21"/>
        </w:rPr>
        <w:t>consequences</w:t>
      </w:r>
      <w:r>
        <w:rPr>
          <w:sz w:val="21"/>
          <w:szCs w:val="21"/>
        </w:rPr>
        <w:t>, aside from loss of livelihoods</w:t>
      </w:r>
      <w:r w:rsidR="00380BE7">
        <w:rPr>
          <w:sz w:val="21"/>
          <w:szCs w:val="21"/>
        </w:rPr>
        <w:t>. This p</w:t>
      </w:r>
      <w:r w:rsidR="00C01199">
        <w:rPr>
          <w:sz w:val="21"/>
          <w:szCs w:val="21"/>
        </w:rPr>
        <w:t xml:space="preserve">uts Scotland at a disadvantage compared to its’ UK neighbours. </w:t>
      </w:r>
    </w:p>
    <w:p w14:paraId="429F83A1" w14:textId="77777777" w:rsidR="00380BE7" w:rsidRDefault="00380BE7" w:rsidP="00B33DA0">
      <w:pPr>
        <w:rPr>
          <w:sz w:val="21"/>
          <w:szCs w:val="21"/>
        </w:rPr>
      </w:pPr>
    </w:p>
    <w:p w14:paraId="08C953FB" w14:textId="534CC146" w:rsidR="00B33DA0" w:rsidRPr="00406D7A" w:rsidRDefault="00C01199" w:rsidP="00B33DA0">
      <w:pPr>
        <w:rPr>
          <w:sz w:val="21"/>
          <w:szCs w:val="21"/>
        </w:rPr>
      </w:pPr>
      <w:r>
        <w:rPr>
          <w:sz w:val="21"/>
          <w:szCs w:val="21"/>
        </w:rPr>
        <w:t>These include</w:t>
      </w:r>
      <w:r w:rsidR="00B33DA0">
        <w:rPr>
          <w:sz w:val="21"/>
          <w:szCs w:val="21"/>
        </w:rPr>
        <w:t>:</w:t>
      </w:r>
    </w:p>
    <w:p w14:paraId="2EA773D7" w14:textId="754B926F" w:rsidR="00B33DA0" w:rsidRPr="00406D7A" w:rsidRDefault="00B33DA0" w:rsidP="00B33DA0">
      <w:pPr>
        <w:pStyle w:val="ListParagraph"/>
        <w:numPr>
          <w:ilvl w:val="0"/>
          <w:numId w:val="11"/>
        </w:numPr>
        <w:rPr>
          <w:sz w:val="21"/>
          <w:szCs w:val="21"/>
        </w:rPr>
      </w:pPr>
      <w:r w:rsidRPr="00406D7A">
        <w:rPr>
          <w:sz w:val="21"/>
          <w:szCs w:val="21"/>
        </w:rPr>
        <w:t>increasing prices</w:t>
      </w:r>
      <w:r w:rsidR="006B4023">
        <w:rPr>
          <w:sz w:val="21"/>
          <w:szCs w:val="21"/>
        </w:rPr>
        <w:t xml:space="preserve"> of accommodation</w:t>
      </w:r>
      <w:r>
        <w:rPr>
          <w:sz w:val="21"/>
          <w:szCs w:val="21"/>
        </w:rPr>
        <w:t xml:space="preserve">, </w:t>
      </w:r>
      <w:r w:rsidRPr="00406D7A">
        <w:rPr>
          <w:sz w:val="21"/>
          <w:szCs w:val="21"/>
        </w:rPr>
        <w:t>by reducing competition and increasing base costs</w:t>
      </w:r>
      <w:r>
        <w:rPr>
          <w:sz w:val="21"/>
          <w:szCs w:val="21"/>
        </w:rPr>
        <w:t>,</w:t>
      </w:r>
      <w:r w:rsidRPr="00406D7A">
        <w:rPr>
          <w:sz w:val="21"/>
          <w:szCs w:val="21"/>
        </w:rPr>
        <w:t xml:space="preserve"> at a time of financial </w:t>
      </w:r>
      <w:r>
        <w:rPr>
          <w:sz w:val="21"/>
          <w:szCs w:val="21"/>
        </w:rPr>
        <w:t>pressure</w:t>
      </w:r>
      <w:r w:rsidRPr="00406D7A">
        <w:rPr>
          <w:sz w:val="21"/>
          <w:szCs w:val="21"/>
        </w:rPr>
        <w:t xml:space="preserve"> on households</w:t>
      </w:r>
    </w:p>
    <w:p w14:paraId="6913C6A9" w14:textId="31F170D5" w:rsidR="00B33DA0" w:rsidRPr="00406D7A" w:rsidRDefault="00380BE7" w:rsidP="00B33DA0">
      <w:pPr>
        <w:pStyle w:val="ListParagraph"/>
        <w:numPr>
          <w:ilvl w:val="0"/>
          <w:numId w:val="11"/>
        </w:numPr>
        <w:rPr>
          <w:sz w:val="21"/>
          <w:szCs w:val="21"/>
        </w:rPr>
      </w:pPr>
      <w:r>
        <w:rPr>
          <w:sz w:val="21"/>
          <w:szCs w:val="21"/>
        </w:rPr>
        <w:t>reduced availability</w:t>
      </w:r>
      <w:r w:rsidR="002410E1">
        <w:rPr>
          <w:sz w:val="21"/>
          <w:szCs w:val="21"/>
        </w:rPr>
        <w:t>/choice</w:t>
      </w:r>
      <w:r>
        <w:rPr>
          <w:sz w:val="21"/>
          <w:szCs w:val="21"/>
        </w:rPr>
        <w:t xml:space="preserve"> for </w:t>
      </w:r>
      <w:r w:rsidR="00B33DA0" w:rsidRPr="00406D7A">
        <w:rPr>
          <w:sz w:val="21"/>
          <w:szCs w:val="21"/>
        </w:rPr>
        <w:t>staycations for Scots and UK</w:t>
      </w:r>
      <w:r>
        <w:rPr>
          <w:sz w:val="21"/>
          <w:szCs w:val="21"/>
        </w:rPr>
        <w:t xml:space="preserve"> residents</w:t>
      </w:r>
      <w:r w:rsidR="002410E1">
        <w:rPr>
          <w:sz w:val="21"/>
          <w:szCs w:val="21"/>
        </w:rPr>
        <w:t xml:space="preserve"> as well as international visitors</w:t>
      </w:r>
    </w:p>
    <w:p w14:paraId="36B92D24" w14:textId="477F2962" w:rsidR="00B33DA0" w:rsidRPr="00406D7A" w:rsidRDefault="00B33DA0" w:rsidP="00B33DA0">
      <w:pPr>
        <w:pStyle w:val="ListParagraph"/>
        <w:numPr>
          <w:ilvl w:val="0"/>
          <w:numId w:val="11"/>
        </w:numPr>
        <w:rPr>
          <w:sz w:val="21"/>
          <w:szCs w:val="21"/>
        </w:rPr>
      </w:pPr>
      <w:r w:rsidRPr="00406D7A">
        <w:rPr>
          <w:sz w:val="21"/>
          <w:szCs w:val="21"/>
        </w:rPr>
        <w:t>discouraging investment</w:t>
      </w:r>
      <w:r>
        <w:rPr>
          <w:sz w:val="21"/>
          <w:szCs w:val="21"/>
        </w:rPr>
        <w:t xml:space="preserve"> due to the </w:t>
      </w:r>
      <w:r w:rsidR="009D2847">
        <w:rPr>
          <w:sz w:val="21"/>
          <w:szCs w:val="21"/>
        </w:rPr>
        <w:t>inability to secure finance</w:t>
      </w:r>
    </w:p>
    <w:p w14:paraId="22FEB001" w14:textId="66EC1779" w:rsidR="00B33DA0" w:rsidRDefault="00B33DA0" w:rsidP="002513CB">
      <w:pPr>
        <w:pStyle w:val="ListParagraph"/>
        <w:numPr>
          <w:ilvl w:val="0"/>
          <w:numId w:val="11"/>
        </w:numPr>
        <w:rPr>
          <w:sz w:val="21"/>
          <w:szCs w:val="21"/>
        </w:rPr>
      </w:pPr>
      <w:r w:rsidRPr="00406D7A">
        <w:rPr>
          <w:sz w:val="21"/>
          <w:szCs w:val="21"/>
        </w:rPr>
        <w:t>harming local tourism reliant businesses and services (housekeepers, trades people</w:t>
      </w:r>
      <w:r>
        <w:rPr>
          <w:sz w:val="21"/>
          <w:szCs w:val="21"/>
        </w:rPr>
        <w:t>, activity providers, visitor attractions, hospitality</w:t>
      </w:r>
      <w:r w:rsidRPr="00406D7A">
        <w:rPr>
          <w:sz w:val="21"/>
          <w:szCs w:val="21"/>
        </w:rPr>
        <w:t xml:space="preserve"> etc)</w:t>
      </w:r>
    </w:p>
    <w:p w14:paraId="1D915BAE" w14:textId="45AB64A6" w:rsidR="00380BE7" w:rsidRDefault="00380BE7" w:rsidP="002513CB">
      <w:pPr>
        <w:pStyle w:val="ListParagraph"/>
        <w:numPr>
          <w:ilvl w:val="0"/>
          <w:numId w:val="11"/>
        </w:numPr>
        <w:rPr>
          <w:sz w:val="21"/>
          <w:szCs w:val="21"/>
        </w:rPr>
      </w:pPr>
      <w:r>
        <w:rPr>
          <w:sz w:val="21"/>
          <w:szCs w:val="21"/>
        </w:rPr>
        <w:t xml:space="preserve">impact on health and well-being of impacted people, loss of </w:t>
      </w:r>
      <w:proofErr w:type="spellStart"/>
      <w:r>
        <w:rPr>
          <w:sz w:val="21"/>
          <w:szCs w:val="21"/>
        </w:rPr>
        <w:t>livlihoods</w:t>
      </w:r>
      <w:proofErr w:type="spellEnd"/>
      <w:r>
        <w:rPr>
          <w:sz w:val="21"/>
          <w:szCs w:val="21"/>
        </w:rPr>
        <w:t>, inability to fund retirement, inability to sell your business</w:t>
      </w:r>
    </w:p>
    <w:p w14:paraId="7E3CFE0D" w14:textId="6CA85201" w:rsidR="00380BE7" w:rsidRDefault="00380BE7" w:rsidP="002513CB">
      <w:pPr>
        <w:pStyle w:val="ListParagraph"/>
        <w:numPr>
          <w:ilvl w:val="0"/>
          <w:numId w:val="11"/>
        </w:numPr>
        <w:rPr>
          <w:sz w:val="21"/>
          <w:szCs w:val="21"/>
        </w:rPr>
      </w:pPr>
      <w:r>
        <w:rPr>
          <w:sz w:val="21"/>
          <w:szCs w:val="21"/>
        </w:rPr>
        <w:t>stifling entrepreneurship</w:t>
      </w:r>
    </w:p>
    <w:p w14:paraId="3231918C" w14:textId="6E6D6446" w:rsidR="00380BE7" w:rsidRDefault="002410E1" w:rsidP="002513CB">
      <w:pPr>
        <w:pStyle w:val="ListParagraph"/>
        <w:numPr>
          <w:ilvl w:val="0"/>
          <w:numId w:val="11"/>
        </w:numPr>
        <w:rPr>
          <w:sz w:val="21"/>
          <w:szCs w:val="21"/>
        </w:rPr>
      </w:pPr>
      <w:r>
        <w:rPr>
          <w:sz w:val="21"/>
          <w:szCs w:val="21"/>
        </w:rPr>
        <w:t xml:space="preserve">reduction in the ability to </w:t>
      </w:r>
      <w:r w:rsidR="00380BE7">
        <w:rPr>
          <w:sz w:val="21"/>
          <w:szCs w:val="21"/>
        </w:rPr>
        <w:t>travel sustainabl</w:t>
      </w:r>
      <w:r>
        <w:rPr>
          <w:sz w:val="21"/>
          <w:szCs w:val="21"/>
        </w:rPr>
        <w:t>y within your own country</w:t>
      </w:r>
    </w:p>
    <w:p w14:paraId="0A4D5A8C" w14:textId="28E95B62" w:rsidR="00380BE7" w:rsidRDefault="002410E1" w:rsidP="002513CB">
      <w:pPr>
        <w:pStyle w:val="ListParagraph"/>
        <w:numPr>
          <w:ilvl w:val="0"/>
          <w:numId w:val="11"/>
        </w:numPr>
        <w:rPr>
          <w:sz w:val="21"/>
          <w:szCs w:val="21"/>
        </w:rPr>
      </w:pPr>
      <w:r>
        <w:rPr>
          <w:sz w:val="21"/>
          <w:szCs w:val="21"/>
        </w:rPr>
        <w:t>reputational damage as a welcoming country, giving competitor advantage to the rest of the UK</w:t>
      </w:r>
    </w:p>
    <w:p w14:paraId="08075A66" w14:textId="77777777" w:rsidR="002513CB" w:rsidRPr="00487A84" w:rsidRDefault="002513CB" w:rsidP="002513CB">
      <w:pPr>
        <w:rPr>
          <w:rFonts w:cstheme="minorHAnsi"/>
          <w:sz w:val="21"/>
          <w:szCs w:val="21"/>
        </w:rPr>
      </w:pPr>
    </w:p>
    <w:p w14:paraId="394DB941" w14:textId="7845A7D9" w:rsidR="002513CB" w:rsidRPr="00FF6BE8" w:rsidRDefault="009321EA" w:rsidP="00867F47">
      <w:pPr>
        <w:rPr>
          <w:rFonts w:ascii="Calibri" w:hAnsi="Calibri" w:cs="Calibri"/>
          <w:b/>
          <w:color w:val="000000"/>
          <w:sz w:val="21"/>
          <w:szCs w:val="21"/>
          <w:u w:val="single"/>
        </w:rPr>
      </w:pPr>
      <w:r w:rsidRPr="00FF6BE8">
        <w:rPr>
          <w:rFonts w:ascii="Calibri" w:hAnsi="Calibri" w:cs="Calibri"/>
          <w:b/>
          <w:color w:val="000000"/>
          <w:sz w:val="21"/>
          <w:szCs w:val="21"/>
          <w:u w:val="single"/>
        </w:rPr>
        <w:t>UK Government Consultation into the Regulation of Short-Term Lets</w:t>
      </w:r>
    </w:p>
    <w:p w14:paraId="7A588F4D" w14:textId="645A64C4" w:rsidR="00AD6572" w:rsidRPr="00487A84" w:rsidRDefault="00AD6572" w:rsidP="00AD6572">
      <w:pPr>
        <w:rPr>
          <w:rFonts w:eastAsia="Times New Roman" w:cstheme="minorHAnsi"/>
          <w:i/>
          <w:sz w:val="21"/>
          <w:szCs w:val="21"/>
        </w:rPr>
      </w:pPr>
      <w:r w:rsidRPr="00487A84">
        <w:rPr>
          <w:rFonts w:ascii="Calibri" w:hAnsi="Calibri" w:cs="Calibri"/>
          <w:color w:val="000000"/>
          <w:sz w:val="21"/>
          <w:szCs w:val="21"/>
        </w:rPr>
        <w:t>The UK Government is consulting on a ‘light touch registration scheme’</w:t>
      </w:r>
      <w:r w:rsidRPr="00487A84">
        <w:rPr>
          <w:rStyle w:val="FootnoteReference"/>
          <w:rFonts w:ascii="Calibri" w:hAnsi="Calibri" w:cs="Calibri"/>
          <w:color w:val="000000"/>
          <w:sz w:val="21"/>
          <w:szCs w:val="21"/>
        </w:rPr>
        <w:footnoteReference w:id="4"/>
      </w:r>
      <w:r w:rsidR="002410E1">
        <w:rPr>
          <w:rFonts w:ascii="Calibri" w:hAnsi="Calibri" w:cs="Calibri"/>
          <w:color w:val="000000"/>
          <w:sz w:val="21"/>
          <w:szCs w:val="21"/>
        </w:rPr>
        <w:t xml:space="preserve"> for England</w:t>
      </w:r>
      <w:r w:rsidRPr="00487A84">
        <w:rPr>
          <w:rFonts w:ascii="Calibri" w:hAnsi="Calibri" w:cs="Calibri"/>
          <w:color w:val="000000"/>
          <w:sz w:val="21"/>
          <w:szCs w:val="21"/>
        </w:rPr>
        <w:t xml:space="preserve">. </w:t>
      </w:r>
      <w:r w:rsidRPr="00487A84">
        <w:rPr>
          <w:rFonts w:eastAsia="Times New Roman" w:cstheme="minorHAnsi"/>
          <w:color w:val="0B0C0C"/>
          <w:sz w:val="21"/>
          <w:szCs w:val="21"/>
          <w:shd w:val="clear" w:color="auto" w:fill="FFFFFF"/>
        </w:rPr>
        <w:t xml:space="preserve">It is notable that </w:t>
      </w:r>
      <w:r w:rsidRPr="00487A84">
        <w:rPr>
          <w:rFonts w:eastAsia="Times New Roman" w:cstheme="minorHAnsi"/>
          <w:i/>
          <w:color w:val="0B0C0C"/>
          <w:sz w:val="21"/>
          <w:szCs w:val="21"/>
          <w:shd w:val="clear" w:color="auto" w:fill="FFFFFF"/>
        </w:rPr>
        <w:t xml:space="preserve">“Given the government’s priority is to deliver a proportionate regulatory response, the focus of the registration scheme in England will be on short-term lets only, and </w:t>
      </w:r>
      <w:proofErr w:type="spellStart"/>
      <w:r w:rsidRPr="00487A84">
        <w:rPr>
          <w:rFonts w:eastAsia="Times New Roman" w:cstheme="minorHAnsi"/>
          <w:i/>
          <w:color w:val="0B0C0C"/>
          <w:sz w:val="21"/>
          <w:szCs w:val="21"/>
          <w:shd w:val="clear" w:color="auto" w:fill="FFFFFF"/>
        </w:rPr>
        <w:t>not</w:t>
      </w:r>
      <w:proofErr w:type="spellEnd"/>
      <w:r w:rsidRPr="00487A84">
        <w:rPr>
          <w:rFonts w:eastAsia="Times New Roman" w:cstheme="minorHAnsi"/>
          <w:i/>
          <w:color w:val="0B0C0C"/>
          <w:sz w:val="21"/>
          <w:szCs w:val="21"/>
          <w:shd w:val="clear" w:color="auto" w:fill="FFFFFF"/>
        </w:rPr>
        <w:t xml:space="preserve"> other types of guest accommodation such as hotels, B&amp;Bs and professional providers of self-catering accommodation. </w:t>
      </w:r>
      <w:r w:rsidR="007547BA">
        <w:rPr>
          <w:rFonts w:eastAsia="Times New Roman" w:cstheme="minorHAnsi"/>
          <w:i/>
          <w:color w:val="0B0C0C"/>
          <w:sz w:val="21"/>
          <w:szCs w:val="21"/>
          <w:shd w:val="clear" w:color="auto" w:fill="FFFFFF"/>
        </w:rPr>
        <w:t>[This would]</w:t>
      </w:r>
      <w:r w:rsidRPr="00487A84">
        <w:rPr>
          <w:rFonts w:eastAsia="Times New Roman" w:cstheme="minorHAnsi"/>
          <w:i/>
          <w:color w:val="0B0C0C"/>
          <w:sz w:val="21"/>
          <w:szCs w:val="21"/>
          <w:shd w:val="clear" w:color="auto" w:fill="FFFFFF"/>
        </w:rPr>
        <w:t xml:space="preserve"> ensure that all providers of short-term </w:t>
      </w:r>
      <w:proofErr w:type="gramStart"/>
      <w:r w:rsidRPr="00487A84">
        <w:rPr>
          <w:rFonts w:eastAsia="Times New Roman" w:cstheme="minorHAnsi"/>
          <w:i/>
          <w:color w:val="0B0C0C"/>
          <w:sz w:val="21"/>
          <w:szCs w:val="21"/>
          <w:shd w:val="clear" w:color="auto" w:fill="FFFFFF"/>
        </w:rPr>
        <w:t>lets</w:t>
      </w:r>
      <w:proofErr w:type="gramEnd"/>
      <w:r w:rsidRPr="00487A84">
        <w:rPr>
          <w:rFonts w:eastAsia="Times New Roman" w:cstheme="minorHAnsi"/>
          <w:i/>
          <w:color w:val="0B0C0C"/>
          <w:sz w:val="21"/>
          <w:szCs w:val="21"/>
          <w:shd w:val="clear" w:color="auto" w:fill="FFFFFF"/>
        </w:rPr>
        <w:t xml:space="preserve"> can be obligated to provide safe, quality assured accommodation, as other providers of guest accommodation must currently do through existing regulation and quality assurance schemes.”</w:t>
      </w:r>
      <w:r w:rsidR="00FF6BE8">
        <w:rPr>
          <w:rFonts w:eastAsia="Times New Roman" w:cstheme="minorHAnsi"/>
          <w:i/>
          <w:color w:val="0B0C0C"/>
          <w:sz w:val="21"/>
          <w:szCs w:val="21"/>
          <w:shd w:val="clear" w:color="auto" w:fill="FFFFFF"/>
        </w:rPr>
        <w:t xml:space="preserve"> </w:t>
      </w:r>
      <w:r w:rsidR="00FF6BE8" w:rsidRPr="00FF6BE8">
        <w:rPr>
          <w:rFonts w:eastAsia="Times New Roman" w:cstheme="minorHAnsi"/>
          <w:color w:val="0B0C0C"/>
          <w:sz w:val="21"/>
          <w:szCs w:val="21"/>
          <w:shd w:val="clear" w:color="auto" w:fill="FFFFFF"/>
        </w:rPr>
        <w:t xml:space="preserve">The </w:t>
      </w:r>
      <w:r w:rsidR="00FF6BE8">
        <w:rPr>
          <w:rFonts w:eastAsia="Times New Roman" w:cstheme="minorHAnsi"/>
          <w:color w:val="0B0C0C"/>
          <w:sz w:val="21"/>
          <w:szCs w:val="21"/>
          <w:shd w:val="clear" w:color="auto" w:fill="FFFFFF"/>
        </w:rPr>
        <w:t xml:space="preserve">government in Wales is taking a similar approach, albeit they are calling it </w:t>
      </w:r>
      <w:r w:rsidR="009B4BC6">
        <w:rPr>
          <w:rFonts w:eastAsia="Times New Roman" w:cstheme="minorHAnsi"/>
          <w:color w:val="0B0C0C"/>
          <w:sz w:val="21"/>
          <w:szCs w:val="21"/>
          <w:shd w:val="clear" w:color="auto" w:fill="FFFFFF"/>
        </w:rPr>
        <w:t>‘</w:t>
      </w:r>
      <w:r w:rsidR="00FF6BE8">
        <w:rPr>
          <w:rFonts w:eastAsia="Times New Roman" w:cstheme="minorHAnsi"/>
          <w:color w:val="0B0C0C"/>
          <w:sz w:val="21"/>
          <w:szCs w:val="21"/>
          <w:shd w:val="clear" w:color="auto" w:fill="FFFFFF"/>
        </w:rPr>
        <w:t>licensing</w:t>
      </w:r>
      <w:r w:rsidR="009B4BC6">
        <w:rPr>
          <w:rFonts w:eastAsia="Times New Roman" w:cstheme="minorHAnsi"/>
          <w:color w:val="0B0C0C"/>
          <w:sz w:val="21"/>
          <w:szCs w:val="21"/>
          <w:shd w:val="clear" w:color="auto" w:fill="FFFFFF"/>
        </w:rPr>
        <w:t>’</w:t>
      </w:r>
      <w:r w:rsidR="00FF6BE8">
        <w:rPr>
          <w:rFonts w:eastAsia="Times New Roman" w:cstheme="minorHAnsi"/>
          <w:color w:val="0B0C0C"/>
          <w:sz w:val="21"/>
          <w:szCs w:val="21"/>
          <w:shd w:val="clear" w:color="auto" w:fill="FFFFFF"/>
        </w:rPr>
        <w:t xml:space="preserve">. It </w:t>
      </w:r>
      <w:r w:rsidR="009B4BC6">
        <w:rPr>
          <w:rFonts w:eastAsia="Times New Roman" w:cstheme="minorHAnsi"/>
          <w:color w:val="0B0C0C"/>
          <w:sz w:val="21"/>
          <w:szCs w:val="21"/>
          <w:shd w:val="clear" w:color="auto" w:fill="FFFFFF"/>
        </w:rPr>
        <w:t>will be</w:t>
      </w:r>
      <w:r w:rsidR="00FF6BE8">
        <w:rPr>
          <w:rFonts w:eastAsia="Times New Roman" w:cstheme="minorHAnsi"/>
          <w:color w:val="0B0C0C"/>
          <w:sz w:val="21"/>
          <w:szCs w:val="21"/>
          <w:shd w:val="clear" w:color="auto" w:fill="FFFFFF"/>
        </w:rPr>
        <w:t xml:space="preserve"> a </w:t>
      </w:r>
      <w:r w:rsidR="00FF6BE8" w:rsidRPr="00FF6BE8">
        <w:rPr>
          <w:rFonts w:eastAsia="Times New Roman" w:cstheme="minorHAnsi"/>
          <w:b/>
          <w:color w:val="0B0C0C"/>
          <w:sz w:val="21"/>
          <w:szCs w:val="21"/>
          <w:shd w:val="clear" w:color="auto" w:fill="FFFFFF"/>
        </w:rPr>
        <w:t>notification scheme rather than an authorisation scheme</w:t>
      </w:r>
      <w:r w:rsidR="00FF6BE8">
        <w:rPr>
          <w:rFonts w:eastAsia="Times New Roman" w:cstheme="minorHAnsi"/>
          <w:color w:val="0B0C0C"/>
          <w:sz w:val="21"/>
          <w:szCs w:val="21"/>
          <w:shd w:val="clear" w:color="auto" w:fill="FFFFFF"/>
        </w:rPr>
        <w:t xml:space="preserve"> in direct contrast to Scotland. </w:t>
      </w:r>
      <w:r w:rsidR="002410E1">
        <w:rPr>
          <w:rFonts w:eastAsia="Times New Roman" w:cstheme="minorHAnsi"/>
          <w:color w:val="0B0C0C"/>
          <w:sz w:val="21"/>
          <w:szCs w:val="21"/>
          <w:shd w:val="clear" w:color="auto" w:fill="FFFFFF"/>
        </w:rPr>
        <w:t>T</w:t>
      </w:r>
      <w:r w:rsidR="00FF6BE8">
        <w:rPr>
          <w:rFonts w:eastAsia="Times New Roman" w:cstheme="minorHAnsi"/>
          <w:color w:val="0B0C0C"/>
          <w:sz w:val="21"/>
          <w:szCs w:val="21"/>
          <w:shd w:val="clear" w:color="auto" w:fill="FFFFFF"/>
        </w:rPr>
        <w:t xml:space="preserve">his </w:t>
      </w:r>
      <w:r w:rsidR="002410E1">
        <w:rPr>
          <w:rFonts w:eastAsia="Times New Roman" w:cstheme="minorHAnsi"/>
          <w:color w:val="0B0C0C"/>
          <w:sz w:val="21"/>
          <w:szCs w:val="21"/>
          <w:shd w:val="clear" w:color="auto" w:fill="FFFFFF"/>
        </w:rPr>
        <w:t xml:space="preserve">is </w:t>
      </w:r>
      <w:r w:rsidR="00795124">
        <w:rPr>
          <w:rFonts w:eastAsia="Times New Roman" w:cstheme="minorHAnsi"/>
          <w:color w:val="0B0C0C"/>
          <w:sz w:val="21"/>
          <w:szCs w:val="21"/>
          <w:shd w:val="clear" w:color="auto" w:fill="FFFFFF"/>
        </w:rPr>
        <w:t xml:space="preserve">a </w:t>
      </w:r>
      <w:r w:rsidR="00FF6BE8">
        <w:rPr>
          <w:rFonts w:eastAsia="Times New Roman" w:cstheme="minorHAnsi"/>
          <w:color w:val="0B0C0C"/>
          <w:sz w:val="21"/>
          <w:szCs w:val="21"/>
          <w:shd w:val="clear" w:color="auto" w:fill="FFFFFF"/>
        </w:rPr>
        <w:t>proportionate</w:t>
      </w:r>
      <w:r w:rsidR="00795124">
        <w:rPr>
          <w:rFonts w:eastAsia="Times New Roman" w:cstheme="minorHAnsi"/>
          <w:color w:val="0B0C0C"/>
          <w:sz w:val="21"/>
          <w:szCs w:val="21"/>
          <w:shd w:val="clear" w:color="auto" w:fill="FFFFFF"/>
        </w:rPr>
        <w:t>, justifiable, non-discriminatory</w:t>
      </w:r>
      <w:r w:rsidR="00FF6BE8">
        <w:rPr>
          <w:rFonts w:eastAsia="Times New Roman" w:cstheme="minorHAnsi"/>
          <w:color w:val="0B0C0C"/>
          <w:sz w:val="21"/>
          <w:szCs w:val="21"/>
          <w:shd w:val="clear" w:color="auto" w:fill="FFFFFF"/>
        </w:rPr>
        <w:t xml:space="preserve"> and rational</w:t>
      </w:r>
      <w:r w:rsidR="00795124">
        <w:rPr>
          <w:rFonts w:eastAsia="Times New Roman" w:cstheme="minorHAnsi"/>
          <w:color w:val="0B0C0C"/>
          <w:sz w:val="21"/>
          <w:szCs w:val="21"/>
          <w:shd w:val="clear" w:color="auto" w:fill="FFFFFF"/>
        </w:rPr>
        <w:t xml:space="preserve"> approach</w:t>
      </w:r>
      <w:r w:rsidR="00FF6BE8">
        <w:rPr>
          <w:rFonts w:eastAsia="Times New Roman" w:cstheme="minorHAnsi"/>
          <w:color w:val="0B0C0C"/>
          <w:sz w:val="21"/>
          <w:szCs w:val="21"/>
          <w:shd w:val="clear" w:color="auto" w:fill="FFFFFF"/>
        </w:rPr>
        <w:t>.</w:t>
      </w:r>
    </w:p>
    <w:p w14:paraId="18FA42A3" w14:textId="77777777" w:rsidR="009321EA" w:rsidRPr="00487A84" w:rsidRDefault="009321EA" w:rsidP="00867F47">
      <w:pPr>
        <w:rPr>
          <w:rFonts w:ascii="Calibri" w:hAnsi="Calibri" w:cs="Calibri"/>
          <w:b/>
          <w:color w:val="000000" w:themeColor="text1"/>
          <w:sz w:val="21"/>
          <w:szCs w:val="21"/>
        </w:rPr>
      </w:pPr>
    </w:p>
    <w:p w14:paraId="0F6FFA1F" w14:textId="77777777" w:rsidR="0036482F" w:rsidRDefault="002410E1" w:rsidP="00E228AC">
      <w:pPr>
        <w:rPr>
          <w:rStyle w:val="apple-converted-space"/>
          <w:rFonts w:ascii="Calibri" w:hAnsi="Calibri" w:cs="Calibri"/>
          <w:color w:val="000000" w:themeColor="text1"/>
          <w:sz w:val="21"/>
          <w:szCs w:val="21"/>
        </w:rPr>
      </w:pPr>
      <w:r w:rsidRPr="002410E1">
        <w:rPr>
          <w:rStyle w:val="apple-converted-space"/>
          <w:rFonts w:ascii="Calibri" w:hAnsi="Calibri" w:cs="Calibri"/>
          <w:color w:val="000000" w:themeColor="text1"/>
          <w:sz w:val="21"/>
          <w:szCs w:val="21"/>
        </w:rPr>
        <w:t xml:space="preserve">In Comparison, </w:t>
      </w:r>
      <w:r w:rsidR="00AD6572" w:rsidRPr="002410E1">
        <w:rPr>
          <w:rStyle w:val="apple-converted-space"/>
          <w:rFonts w:ascii="Calibri" w:hAnsi="Calibri" w:cs="Calibri"/>
          <w:color w:val="000000" w:themeColor="text1"/>
          <w:sz w:val="21"/>
          <w:szCs w:val="21"/>
        </w:rPr>
        <w:t xml:space="preserve">Scotland’s approach is disproportionate, unjustified, and discriminatory. It contravenes the Provision of Services Regulations 2009, and we contend Article 1, Protocol </w:t>
      </w:r>
      <w:r w:rsidR="0018427D" w:rsidRPr="002410E1">
        <w:rPr>
          <w:rStyle w:val="apple-converted-space"/>
          <w:rFonts w:ascii="Calibri" w:hAnsi="Calibri" w:cs="Calibri"/>
          <w:color w:val="000000" w:themeColor="text1"/>
          <w:sz w:val="21"/>
          <w:szCs w:val="21"/>
        </w:rPr>
        <w:t xml:space="preserve">1 </w:t>
      </w:r>
      <w:r w:rsidR="00AD6572" w:rsidRPr="002410E1">
        <w:rPr>
          <w:rStyle w:val="apple-converted-space"/>
          <w:rFonts w:ascii="Calibri" w:hAnsi="Calibri" w:cs="Calibri"/>
          <w:color w:val="000000" w:themeColor="text1"/>
          <w:sz w:val="21"/>
          <w:szCs w:val="21"/>
        </w:rPr>
        <w:t>o</w:t>
      </w:r>
      <w:r w:rsidR="0018427D" w:rsidRPr="002410E1">
        <w:rPr>
          <w:rStyle w:val="apple-converted-space"/>
          <w:rFonts w:ascii="Calibri" w:hAnsi="Calibri" w:cs="Calibri"/>
          <w:color w:val="000000" w:themeColor="text1"/>
          <w:sz w:val="21"/>
          <w:szCs w:val="21"/>
        </w:rPr>
        <w:t>f</w:t>
      </w:r>
      <w:r w:rsidR="00AD6572" w:rsidRPr="002410E1">
        <w:rPr>
          <w:rStyle w:val="apple-converted-space"/>
          <w:rFonts w:ascii="Calibri" w:hAnsi="Calibri" w:cs="Calibri"/>
          <w:color w:val="000000" w:themeColor="text1"/>
          <w:sz w:val="21"/>
          <w:szCs w:val="21"/>
        </w:rPr>
        <w:t xml:space="preserve"> the Human Rights Act</w:t>
      </w:r>
      <w:r w:rsidR="0018427D" w:rsidRPr="002410E1">
        <w:rPr>
          <w:rStyle w:val="apple-converted-space"/>
          <w:rFonts w:ascii="Calibri" w:hAnsi="Calibri" w:cs="Calibri"/>
          <w:color w:val="000000" w:themeColor="text1"/>
          <w:sz w:val="21"/>
          <w:szCs w:val="21"/>
        </w:rPr>
        <w:t>: Protection of Property</w:t>
      </w:r>
      <w:r w:rsidR="00AD6572" w:rsidRPr="002410E1">
        <w:rPr>
          <w:rStyle w:val="apple-converted-space"/>
          <w:rFonts w:ascii="Calibri" w:hAnsi="Calibri" w:cs="Calibri"/>
          <w:color w:val="000000" w:themeColor="text1"/>
          <w:sz w:val="21"/>
          <w:szCs w:val="21"/>
        </w:rPr>
        <w:t xml:space="preserve">. </w:t>
      </w:r>
      <w:r w:rsidRPr="002410E1">
        <w:rPr>
          <w:rStyle w:val="apple-converted-space"/>
          <w:rFonts w:ascii="Calibri" w:hAnsi="Calibri" w:cs="Calibri"/>
          <w:color w:val="000000" w:themeColor="text1"/>
          <w:sz w:val="21"/>
          <w:szCs w:val="21"/>
        </w:rPr>
        <w:t>We believe</w:t>
      </w:r>
      <w:r w:rsidR="000F2FCE" w:rsidRPr="002410E1">
        <w:rPr>
          <w:rStyle w:val="apple-converted-space"/>
          <w:rFonts w:ascii="Calibri" w:hAnsi="Calibri" w:cs="Calibri"/>
          <w:color w:val="000000" w:themeColor="text1"/>
          <w:sz w:val="21"/>
          <w:szCs w:val="21"/>
        </w:rPr>
        <w:t xml:space="preserve"> i</w:t>
      </w:r>
      <w:r w:rsidR="00AD6572" w:rsidRPr="002410E1">
        <w:rPr>
          <w:rStyle w:val="apple-converted-space"/>
          <w:rFonts w:ascii="Calibri" w:hAnsi="Calibri" w:cs="Calibri"/>
          <w:color w:val="000000" w:themeColor="text1"/>
          <w:sz w:val="21"/>
          <w:szCs w:val="21"/>
        </w:rPr>
        <w:t xml:space="preserve">t puts businesses in Scotland at a disadvantage under the Internal Market Act 2020. </w:t>
      </w:r>
    </w:p>
    <w:p w14:paraId="79BC4A12" w14:textId="57C72F57" w:rsidR="00AD6572" w:rsidRPr="0036482F" w:rsidRDefault="00AD6572" w:rsidP="00E228AC">
      <w:pPr>
        <w:rPr>
          <w:rFonts w:ascii="Calibri" w:hAnsi="Calibri" w:cs="Calibri"/>
          <w:color w:val="000000" w:themeColor="text1"/>
          <w:sz w:val="21"/>
          <w:szCs w:val="21"/>
        </w:rPr>
      </w:pPr>
      <w:r w:rsidRPr="007F2CBF">
        <w:rPr>
          <w:b/>
          <w:sz w:val="21"/>
          <w:szCs w:val="21"/>
          <w:u w:val="single"/>
        </w:rPr>
        <w:lastRenderedPageBreak/>
        <w:t xml:space="preserve">Internal Market Act 2020 </w:t>
      </w:r>
    </w:p>
    <w:p w14:paraId="2FA5B810" w14:textId="39E3F1BC" w:rsidR="00E228AC" w:rsidRPr="00487A84" w:rsidRDefault="00E228AC" w:rsidP="00E228AC">
      <w:pPr>
        <w:rPr>
          <w:sz w:val="21"/>
          <w:szCs w:val="21"/>
        </w:rPr>
      </w:pPr>
      <w:r w:rsidRPr="00487A84">
        <w:rPr>
          <w:sz w:val="21"/>
          <w:szCs w:val="21"/>
        </w:rPr>
        <w:t>The Internal Market Act 2020</w:t>
      </w:r>
      <w:r w:rsidR="00CA2FAD">
        <w:rPr>
          <w:rStyle w:val="FootnoteReference"/>
          <w:sz w:val="21"/>
          <w:szCs w:val="21"/>
        </w:rPr>
        <w:footnoteReference w:id="5"/>
      </w:r>
      <w:r w:rsidRPr="00487A84">
        <w:rPr>
          <w:sz w:val="21"/>
          <w:szCs w:val="21"/>
        </w:rPr>
        <w:t xml:space="preserve"> is a piece of UK legislation designed to ensure that trade within the United Kingdom functions smoothly after leaving the European Union. The act aims to prevent new trade barriers from being created between different parts of the UK and to uphold the principles of the UK internal market, promoting competition and economic growth.</w:t>
      </w:r>
    </w:p>
    <w:p w14:paraId="35F45C66" w14:textId="77777777" w:rsidR="00E228AC" w:rsidRPr="00487A84" w:rsidRDefault="00E228AC" w:rsidP="00E228AC">
      <w:pPr>
        <w:rPr>
          <w:sz w:val="21"/>
          <w:szCs w:val="21"/>
        </w:rPr>
      </w:pPr>
    </w:p>
    <w:p w14:paraId="0392F8A3" w14:textId="64A39D48" w:rsidR="00E228AC" w:rsidRPr="00487A84" w:rsidRDefault="00E228AC" w:rsidP="00E228AC">
      <w:pPr>
        <w:rPr>
          <w:sz w:val="21"/>
          <w:szCs w:val="21"/>
        </w:rPr>
      </w:pPr>
      <w:bookmarkStart w:id="0" w:name="_GoBack"/>
      <w:r w:rsidRPr="00487A84">
        <w:rPr>
          <w:sz w:val="21"/>
          <w:szCs w:val="21"/>
        </w:rPr>
        <w:t xml:space="preserve">The act establishes the </w:t>
      </w:r>
      <w:r w:rsidRPr="00875EE8">
        <w:rPr>
          <w:b/>
          <w:sz w:val="21"/>
          <w:szCs w:val="21"/>
        </w:rPr>
        <w:t>"Principle of Mutual Recognition"</w:t>
      </w:r>
      <w:r w:rsidR="00875EE8" w:rsidRPr="00875EE8">
        <w:rPr>
          <w:b/>
          <w:sz w:val="21"/>
          <w:szCs w:val="21"/>
        </w:rPr>
        <w:t>,</w:t>
      </w:r>
      <w:r w:rsidRPr="00487A84">
        <w:rPr>
          <w:sz w:val="21"/>
          <w:szCs w:val="21"/>
        </w:rPr>
        <w:t xml:space="preserve"> which means that goods and services lawfully sold in one part of the UK should be able to be sold in other parts of the UK without facing additional barriers or requirements.</w:t>
      </w:r>
      <w:r w:rsidR="00D5626E">
        <w:rPr>
          <w:sz w:val="21"/>
          <w:szCs w:val="21"/>
        </w:rPr>
        <w:t xml:space="preserve"> From 1/10/23 Scotland will be at a competitive disadvantage. Businesses </w:t>
      </w:r>
      <w:r w:rsidR="00AE6741">
        <w:rPr>
          <w:sz w:val="21"/>
          <w:szCs w:val="21"/>
        </w:rPr>
        <w:t>(both independent and national / international) t</w:t>
      </w:r>
      <w:r w:rsidR="00D5626E">
        <w:rPr>
          <w:sz w:val="21"/>
          <w:szCs w:val="21"/>
        </w:rPr>
        <w:t xml:space="preserve">hat operate across the UK, </w:t>
      </w:r>
      <w:r w:rsidR="00AE6741">
        <w:rPr>
          <w:sz w:val="21"/>
          <w:szCs w:val="21"/>
        </w:rPr>
        <w:t>will</w:t>
      </w:r>
      <w:r w:rsidR="00D5626E">
        <w:rPr>
          <w:sz w:val="21"/>
          <w:szCs w:val="21"/>
        </w:rPr>
        <w:t xml:space="preserve"> face </w:t>
      </w:r>
      <w:r w:rsidR="00AE6741">
        <w:rPr>
          <w:sz w:val="21"/>
          <w:szCs w:val="21"/>
        </w:rPr>
        <w:t xml:space="preserve">a </w:t>
      </w:r>
      <w:r w:rsidR="00D5626E">
        <w:rPr>
          <w:sz w:val="21"/>
          <w:szCs w:val="21"/>
        </w:rPr>
        <w:t xml:space="preserve">disadvantage in </w:t>
      </w:r>
      <w:r w:rsidR="00AE6741">
        <w:rPr>
          <w:sz w:val="21"/>
          <w:szCs w:val="21"/>
        </w:rPr>
        <w:t>Scotland</w:t>
      </w:r>
      <w:r w:rsidR="00D5626E">
        <w:rPr>
          <w:sz w:val="21"/>
          <w:szCs w:val="21"/>
        </w:rPr>
        <w:t xml:space="preserve"> from 1/10/</w:t>
      </w:r>
      <w:r w:rsidR="003E14C9">
        <w:rPr>
          <w:sz w:val="21"/>
          <w:szCs w:val="21"/>
        </w:rPr>
        <w:t>23</w:t>
      </w:r>
      <w:r w:rsidR="000B1557">
        <w:rPr>
          <w:sz w:val="21"/>
          <w:szCs w:val="21"/>
        </w:rPr>
        <w:t xml:space="preserve">. </w:t>
      </w:r>
      <w:r w:rsidR="00A15559">
        <w:rPr>
          <w:sz w:val="21"/>
          <w:szCs w:val="21"/>
        </w:rPr>
        <w:t>Home owners that seek to supplement their income to meet mortgage increases by renting out their own home / a room are similarly disadvantaged north of the border.</w:t>
      </w:r>
    </w:p>
    <w:bookmarkEnd w:id="0"/>
    <w:p w14:paraId="0AD13224" w14:textId="77777777" w:rsidR="00E228AC" w:rsidRPr="00487A84" w:rsidRDefault="00E228AC" w:rsidP="00E228AC">
      <w:pPr>
        <w:rPr>
          <w:sz w:val="21"/>
          <w:szCs w:val="21"/>
        </w:rPr>
      </w:pPr>
    </w:p>
    <w:p w14:paraId="60C4F85B" w14:textId="6973677F" w:rsidR="00E228AC" w:rsidRPr="00487A84" w:rsidRDefault="00E228AC" w:rsidP="00E228AC">
      <w:pPr>
        <w:rPr>
          <w:sz w:val="21"/>
          <w:szCs w:val="21"/>
        </w:rPr>
      </w:pPr>
      <w:r w:rsidRPr="00487A84">
        <w:rPr>
          <w:sz w:val="21"/>
          <w:szCs w:val="21"/>
        </w:rPr>
        <w:t>Short-term let licensing potentially contravene</w:t>
      </w:r>
      <w:r w:rsidR="00A1543D">
        <w:rPr>
          <w:sz w:val="21"/>
          <w:szCs w:val="21"/>
        </w:rPr>
        <w:t>s</w:t>
      </w:r>
      <w:r w:rsidRPr="00487A84">
        <w:rPr>
          <w:sz w:val="21"/>
          <w:szCs w:val="21"/>
        </w:rPr>
        <w:t xml:space="preserve"> the Internal Market Act 2020 if specific licensing requirements create unjustified barriers to entry or operation within the UK internal market:</w:t>
      </w:r>
    </w:p>
    <w:p w14:paraId="7B71DBBD" w14:textId="79F92C4B" w:rsidR="00376F15" w:rsidRDefault="00EE13E4" w:rsidP="00376F15">
      <w:pPr>
        <w:pStyle w:val="ListParagraph"/>
        <w:numPr>
          <w:ilvl w:val="0"/>
          <w:numId w:val="2"/>
        </w:numPr>
        <w:rPr>
          <w:sz w:val="21"/>
          <w:szCs w:val="21"/>
        </w:rPr>
      </w:pPr>
      <w:r w:rsidRPr="00487A84">
        <w:rPr>
          <w:b/>
          <w:sz w:val="21"/>
          <w:szCs w:val="21"/>
        </w:rPr>
        <w:t>Discriminatory Treatment:</w:t>
      </w:r>
      <w:r w:rsidRPr="00487A84">
        <w:rPr>
          <w:sz w:val="21"/>
          <w:szCs w:val="21"/>
        </w:rPr>
        <w:t xml:space="preserve"> If registration and licensing requirements differ significantly between different parts of the UK and impose more stringent conditions on goods or services originating from one part of the UK compared to another, it could lead to discrimination against businesses or individuals from certain regions. This discriminatory treatment would be contrary to the Principle of Mutual Recognition enshrined in the Internal Market Act, which aims to prevent such barriers to trade within the UK.</w:t>
      </w:r>
      <w:r w:rsidR="00A15559">
        <w:rPr>
          <w:sz w:val="21"/>
          <w:szCs w:val="21"/>
        </w:rPr>
        <w:t xml:space="preserve"> </w:t>
      </w:r>
    </w:p>
    <w:p w14:paraId="4FC275EA" w14:textId="5E5EF1DF" w:rsidR="00E228AC" w:rsidRPr="00376F15" w:rsidRDefault="00E228AC" w:rsidP="00376F15">
      <w:pPr>
        <w:pStyle w:val="ListParagraph"/>
        <w:numPr>
          <w:ilvl w:val="0"/>
          <w:numId w:val="2"/>
        </w:numPr>
        <w:rPr>
          <w:sz w:val="21"/>
          <w:szCs w:val="21"/>
        </w:rPr>
      </w:pPr>
      <w:r w:rsidRPr="00376F15">
        <w:rPr>
          <w:b/>
          <w:sz w:val="21"/>
          <w:szCs w:val="21"/>
        </w:rPr>
        <w:t>Burden of Compliance:</w:t>
      </w:r>
      <w:r w:rsidRPr="00376F15">
        <w:rPr>
          <w:sz w:val="21"/>
          <w:szCs w:val="21"/>
        </w:rPr>
        <w:t xml:space="preserve"> If the licensing requirements imposed by one part of the UK are disproportionately burdensome </w:t>
      </w:r>
      <w:r w:rsidR="00EE13E4" w:rsidRPr="00376F15">
        <w:rPr>
          <w:sz w:val="21"/>
          <w:szCs w:val="21"/>
        </w:rPr>
        <w:t xml:space="preserve">or complex </w:t>
      </w:r>
      <w:r w:rsidRPr="00376F15">
        <w:rPr>
          <w:sz w:val="21"/>
          <w:szCs w:val="21"/>
        </w:rPr>
        <w:t>compared to other parts, it could discourage businesses or individuals from operating short-term lets in that specific region, leading to potential market distortions and non-compliance with the Principle of Mutual Recognition.</w:t>
      </w:r>
      <w:r w:rsidR="00EE13E4" w:rsidRPr="00376F15">
        <w:rPr>
          <w:sz w:val="21"/>
          <w:szCs w:val="21"/>
        </w:rPr>
        <w:t xml:space="preserve"> This burden may also discourage businesses from expanding their operations across the internal market, thus hindering competition and the free movement of goods and services.</w:t>
      </w:r>
    </w:p>
    <w:p w14:paraId="72328445" w14:textId="3BB14DA0" w:rsidR="00E228AC" w:rsidRDefault="00E228AC" w:rsidP="00E228AC">
      <w:pPr>
        <w:pStyle w:val="ListParagraph"/>
        <w:numPr>
          <w:ilvl w:val="0"/>
          <w:numId w:val="2"/>
        </w:numPr>
        <w:rPr>
          <w:sz w:val="21"/>
          <w:szCs w:val="21"/>
        </w:rPr>
      </w:pPr>
      <w:r w:rsidRPr="00487A84">
        <w:rPr>
          <w:b/>
          <w:sz w:val="21"/>
          <w:szCs w:val="21"/>
        </w:rPr>
        <w:t>Substantial Divergence in Licensing Rules:</w:t>
      </w:r>
      <w:r w:rsidRPr="00487A84">
        <w:rPr>
          <w:sz w:val="21"/>
          <w:szCs w:val="21"/>
        </w:rPr>
        <w:t xml:space="preserve"> If different parts of the UK introduce significantly different licensing rules and regulations for short-term lets, it may lead to confusion and administrative burdens for businesses trying to operate across different regions. This fragmentation could undermine the smooth functioning of the internal market.</w:t>
      </w:r>
    </w:p>
    <w:p w14:paraId="1BFBC865" w14:textId="0C1D311F" w:rsidR="00376F15" w:rsidRPr="00376F15" w:rsidRDefault="00376F15" w:rsidP="00376F15">
      <w:pPr>
        <w:pStyle w:val="ListParagraph"/>
        <w:numPr>
          <w:ilvl w:val="0"/>
          <w:numId w:val="2"/>
        </w:numPr>
        <w:rPr>
          <w:sz w:val="21"/>
          <w:szCs w:val="21"/>
        </w:rPr>
      </w:pPr>
      <w:r w:rsidRPr="00487A84">
        <w:rPr>
          <w:b/>
          <w:sz w:val="21"/>
          <w:szCs w:val="21"/>
        </w:rPr>
        <w:t>Divergent Standards:</w:t>
      </w:r>
      <w:r w:rsidRPr="00487A84">
        <w:rPr>
          <w:sz w:val="21"/>
          <w:szCs w:val="21"/>
        </w:rPr>
        <w:t xml:space="preserve"> If registration and licensing rules vary significantly between regions and lead to substantially different product or service standards, it could create confusion for consumers and hinder the ability of businesses to operate efficiently across the UK. The Internal Market Act seeks to ensure a level playing field and uniform standards within the internal market.</w:t>
      </w:r>
    </w:p>
    <w:p w14:paraId="17094B59" w14:textId="1B15373E" w:rsidR="00E228AC" w:rsidRPr="00487A84" w:rsidRDefault="00376F15" w:rsidP="00E228AC">
      <w:pPr>
        <w:pStyle w:val="ListParagraph"/>
        <w:numPr>
          <w:ilvl w:val="0"/>
          <w:numId w:val="2"/>
        </w:numPr>
        <w:rPr>
          <w:sz w:val="21"/>
          <w:szCs w:val="21"/>
        </w:rPr>
      </w:pPr>
      <w:r w:rsidRPr="00487A84">
        <w:rPr>
          <w:b/>
          <w:sz w:val="21"/>
          <w:szCs w:val="21"/>
        </w:rPr>
        <w:t>Market Access Restrictions:</w:t>
      </w:r>
      <w:r w:rsidRPr="00487A84">
        <w:rPr>
          <w:sz w:val="21"/>
          <w:szCs w:val="21"/>
        </w:rPr>
        <w:t xml:space="preserve"> </w:t>
      </w:r>
      <w:r w:rsidR="00E228AC" w:rsidRPr="00487A84">
        <w:rPr>
          <w:sz w:val="21"/>
          <w:szCs w:val="21"/>
        </w:rPr>
        <w:t>If the licensing requirements are so restrictive or costly that they effectively prevent short-term let providers from other parts of the UK from accessing certain regional markets, it would violate the Principle of Mutual Recognition and restrict fair competition.</w:t>
      </w:r>
    </w:p>
    <w:p w14:paraId="72D187C1" w14:textId="77777777" w:rsidR="00867F47" w:rsidRPr="00487A84" w:rsidRDefault="00867F47" w:rsidP="009F4AA0">
      <w:pPr>
        <w:rPr>
          <w:sz w:val="21"/>
          <w:szCs w:val="21"/>
        </w:rPr>
      </w:pPr>
    </w:p>
    <w:p w14:paraId="5F9FA77C" w14:textId="774325C9" w:rsidR="00124DF8" w:rsidRDefault="00C1617E" w:rsidP="009F4AA0">
      <w:pPr>
        <w:rPr>
          <w:sz w:val="21"/>
          <w:szCs w:val="21"/>
        </w:rPr>
      </w:pPr>
      <w:r>
        <w:rPr>
          <w:sz w:val="21"/>
          <w:szCs w:val="21"/>
        </w:rPr>
        <w:t>We</w:t>
      </w:r>
      <w:r w:rsidR="00124DF8" w:rsidRPr="00487A84">
        <w:rPr>
          <w:sz w:val="21"/>
          <w:szCs w:val="21"/>
        </w:rPr>
        <w:t xml:space="preserve"> note that registration and licensing requirements are not automatically in violation of the Internal Market Act</w:t>
      </w:r>
      <w:r>
        <w:rPr>
          <w:sz w:val="21"/>
          <w:szCs w:val="21"/>
        </w:rPr>
        <w:t xml:space="preserve">, however, under the circumstances, we believe that </w:t>
      </w:r>
      <w:r w:rsidRPr="00332740">
        <w:rPr>
          <w:b/>
          <w:sz w:val="21"/>
          <w:szCs w:val="21"/>
        </w:rPr>
        <w:t xml:space="preserve">the Scottish licensing scheme is indeed in contravention of </w:t>
      </w:r>
      <w:r w:rsidR="00332740" w:rsidRPr="00332740">
        <w:rPr>
          <w:b/>
          <w:sz w:val="21"/>
          <w:szCs w:val="21"/>
        </w:rPr>
        <w:t>this UK law</w:t>
      </w:r>
      <w:r>
        <w:rPr>
          <w:sz w:val="21"/>
          <w:szCs w:val="21"/>
        </w:rPr>
        <w:t xml:space="preserve">. </w:t>
      </w:r>
      <w:r w:rsidR="00124DF8" w:rsidRPr="00487A84">
        <w:rPr>
          <w:sz w:val="21"/>
          <w:szCs w:val="21"/>
        </w:rPr>
        <w:t xml:space="preserve">The act acknowledges that there may be legitimate reasons for different regulations in different parts of the UK, as long as they are proportionate and not discriminatory. </w:t>
      </w:r>
      <w:r>
        <w:rPr>
          <w:sz w:val="21"/>
          <w:szCs w:val="21"/>
        </w:rPr>
        <w:t xml:space="preserve">We fail to see how Scotland’s operators or indeed guests demand a more restrictive regulatory regime. </w:t>
      </w:r>
      <w:r w:rsidR="00E42BE0">
        <w:rPr>
          <w:sz w:val="21"/>
          <w:szCs w:val="21"/>
        </w:rPr>
        <w:t>We believe that Scottish short-term let regulations</w:t>
      </w:r>
      <w:r w:rsidR="00124DF8" w:rsidRPr="00487A84">
        <w:rPr>
          <w:sz w:val="21"/>
          <w:szCs w:val="21"/>
        </w:rPr>
        <w:t xml:space="preserve"> create</w:t>
      </w:r>
      <w:r w:rsidR="00E42BE0">
        <w:rPr>
          <w:sz w:val="21"/>
          <w:szCs w:val="21"/>
        </w:rPr>
        <w:t>s</w:t>
      </w:r>
      <w:r w:rsidR="00124DF8" w:rsidRPr="00487A84">
        <w:rPr>
          <w:sz w:val="21"/>
          <w:szCs w:val="21"/>
        </w:rPr>
        <w:t xml:space="preserve"> unjustified barriers to trade </w:t>
      </w:r>
      <w:r w:rsidR="00E42BE0">
        <w:rPr>
          <w:sz w:val="21"/>
          <w:szCs w:val="21"/>
        </w:rPr>
        <w:t>and</w:t>
      </w:r>
      <w:r w:rsidR="00124DF8" w:rsidRPr="00487A84">
        <w:rPr>
          <w:sz w:val="21"/>
          <w:szCs w:val="21"/>
        </w:rPr>
        <w:t xml:space="preserve"> undermine</w:t>
      </w:r>
      <w:r w:rsidR="00E42BE0">
        <w:rPr>
          <w:sz w:val="21"/>
          <w:szCs w:val="21"/>
        </w:rPr>
        <w:t>s</w:t>
      </w:r>
      <w:r w:rsidR="00124DF8" w:rsidRPr="00487A84">
        <w:rPr>
          <w:sz w:val="21"/>
          <w:szCs w:val="21"/>
        </w:rPr>
        <w:t xml:space="preserve"> the functioning of the UK internal marke</w:t>
      </w:r>
      <w:r w:rsidR="00E42BE0">
        <w:rPr>
          <w:sz w:val="21"/>
          <w:szCs w:val="21"/>
        </w:rPr>
        <w:t>t. We therefore believe that</w:t>
      </w:r>
      <w:r w:rsidR="00124DF8" w:rsidRPr="00487A84">
        <w:rPr>
          <w:sz w:val="21"/>
          <w:szCs w:val="21"/>
        </w:rPr>
        <w:t xml:space="preserve"> they may be subject to legal challenge under the act.</w:t>
      </w:r>
    </w:p>
    <w:p w14:paraId="660D7AA4" w14:textId="4C58F559" w:rsidR="003E14C9" w:rsidRDefault="003E14C9" w:rsidP="009F4AA0">
      <w:pPr>
        <w:rPr>
          <w:sz w:val="21"/>
          <w:szCs w:val="21"/>
        </w:rPr>
      </w:pPr>
    </w:p>
    <w:p w14:paraId="0BC92975" w14:textId="3F4823FA" w:rsidR="00F66547" w:rsidRDefault="00F66547" w:rsidP="009F4AA0">
      <w:pPr>
        <w:rPr>
          <w:sz w:val="21"/>
          <w:szCs w:val="21"/>
        </w:rPr>
      </w:pPr>
    </w:p>
    <w:p w14:paraId="4D9909AF" w14:textId="77777777" w:rsidR="00F66547" w:rsidRDefault="00F66547" w:rsidP="009F4AA0">
      <w:pPr>
        <w:rPr>
          <w:sz w:val="21"/>
          <w:szCs w:val="21"/>
        </w:rPr>
      </w:pPr>
    </w:p>
    <w:p w14:paraId="3084C435" w14:textId="77777777" w:rsidR="003E14C9" w:rsidRPr="003E14C9" w:rsidRDefault="003E14C9" w:rsidP="003E14C9">
      <w:pPr>
        <w:rPr>
          <w:b/>
          <w:sz w:val="21"/>
          <w:szCs w:val="21"/>
          <w:u w:val="single"/>
        </w:rPr>
      </w:pPr>
      <w:r w:rsidRPr="003E14C9">
        <w:rPr>
          <w:b/>
          <w:sz w:val="21"/>
          <w:szCs w:val="21"/>
          <w:u w:val="single"/>
        </w:rPr>
        <w:lastRenderedPageBreak/>
        <w:t>Competition Law</w:t>
      </w:r>
    </w:p>
    <w:p w14:paraId="4913B045" w14:textId="28E0483E" w:rsidR="00325594" w:rsidRDefault="003E14C9" w:rsidP="003E14C9">
      <w:pPr>
        <w:rPr>
          <w:sz w:val="21"/>
          <w:szCs w:val="21"/>
        </w:rPr>
      </w:pPr>
      <w:r w:rsidRPr="00340F6A">
        <w:rPr>
          <w:sz w:val="21"/>
          <w:szCs w:val="21"/>
        </w:rPr>
        <w:t>Competition laws are designed to promote fair competition, prevent market distortions, and protect consumers. If a local authority enact</w:t>
      </w:r>
      <w:r w:rsidR="00325594">
        <w:rPr>
          <w:sz w:val="21"/>
          <w:szCs w:val="21"/>
        </w:rPr>
        <w:t>s</w:t>
      </w:r>
      <w:r w:rsidRPr="00340F6A">
        <w:rPr>
          <w:sz w:val="21"/>
          <w:szCs w:val="21"/>
        </w:rPr>
        <w:t xml:space="preserve"> policies or regulations that explicitly favo</w:t>
      </w:r>
      <w:r>
        <w:rPr>
          <w:sz w:val="21"/>
          <w:szCs w:val="21"/>
        </w:rPr>
        <w:t>u</w:t>
      </w:r>
      <w:r w:rsidRPr="00340F6A">
        <w:rPr>
          <w:sz w:val="21"/>
          <w:szCs w:val="21"/>
        </w:rPr>
        <w:t xml:space="preserve">r hotels </w:t>
      </w:r>
      <w:r>
        <w:rPr>
          <w:sz w:val="21"/>
          <w:szCs w:val="21"/>
        </w:rPr>
        <w:t xml:space="preserve">or serviced apartments </w:t>
      </w:r>
      <w:r w:rsidRPr="00340F6A">
        <w:rPr>
          <w:sz w:val="21"/>
          <w:szCs w:val="21"/>
        </w:rPr>
        <w:t>over short-term lets, it could be viewed as discriminatory and anti-competitive</w:t>
      </w:r>
      <w:r w:rsidR="00325594">
        <w:rPr>
          <w:sz w:val="21"/>
          <w:szCs w:val="21"/>
        </w:rPr>
        <w:t xml:space="preserve">, </w:t>
      </w:r>
      <w:r w:rsidR="00325594" w:rsidRPr="00325594">
        <w:rPr>
          <w:sz w:val="21"/>
          <w:szCs w:val="21"/>
        </w:rPr>
        <w:t>and potentially lead to legal challenge</w:t>
      </w:r>
      <w:r w:rsidRPr="00325594">
        <w:rPr>
          <w:sz w:val="21"/>
          <w:szCs w:val="21"/>
        </w:rPr>
        <w:t>.</w:t>
      </w:r>
      <w:r w:rsidR="00325594">
        <w:rPr>
          <w:sz w:val="21"/>
          <w:szCs w:val="21"/>
        </w:rPr>
        <w:t xml:space="preserve"> This is evidently happening in Edinburgh</w:t>
      </w:r>
      <w:r w:rsidR="00E620EB">
        <w:rPr>
          <w:sz w:val="21"/>
          <w:szCs w:val="21"/>
        </w:rPr>
        <w:t xml:space="preserve"> where </w:t>
      </w:r>
      <w:r w:rsidR="00E07F89">
        <w:rPr>
          <w:sz w:val="21"/>
          <w:szCs w:val="21"/>
        </w:rPr>
        <w:t xml:space="preserve">almost every </w:t>
      </w:r>
      <w:r w:rsidR="00E620EB">
        <w:rPr>
          <w:sz w:val="21"/>
          <w:szCs w:val="21"/>
        </w:rPr>
        <w:t>planning permission</w:t>
      </w:r>
      <w:r w:rsidR="00E07F89">
        <w:rPr>
          <w:sz w:val="21"/>
          <w:szCs w:val="21"/>
        </w:rPr>
        <w:t xml:space="preserve"> application</w:t>
      </w:r>
      <w:r w:rsidR="00E620EB">
        <w:rPr>
          <w:sz w:val="21"/>
          <w:szCs w:val="21"/>
        </w:rPr>
        <w:t xml:space="preserve"> is being </w:t>
      </w:r>
      <w:r w:rsidR="00E07F89">
        <w:rPr>
          <w:sz w:val="21"/>
          <w:szCs w:val="21"/>
        </w:rPr>
        <w:t>rejected for a secondary let, but serviced accommodation and hotel planning permissions are repeatedly successful</w:t>
      </w:r>
      <w:r w:rsidR="00325594">
        <w:rPr>
          <w:sz w:val="21"/>
          <w:szCs w:val="21"/>
        </w:rPr>
        <w:t>.</w:t>
      </w:r>
    </w:p>
    <w:p w14:paraId="32F3C0E7" w14:textId="4C3C1AFC" w:rsidR="00F35F17" w:rsidRDefault="00F35F17" w:rsidP="009F4AA0">
      <w:pPr>
        <w:rPr>
          <w:sz w:val="21"/>
          <w:szCs w:val="21"/>
        </w:rPr>
      </w:pPr>
    </w:p>
    <w:p w14:paraId="38E410CF" w14:textId="11F88120" w:rsidR="00F35F17" w:rsidRPr="00F35F17" w:rsidRDefault="00F35F17" w:rsidP="009F4AA0">
      <w:pPr>
        <w:rPr>
          <w:b/>
          <w:sz w:val="21"/>
          <w:szCs w:val="21"/>
          <w:u w:val="single"/>
        </w:rPr>
      </w:pPr>
      <w:r w:rsidRPr="00F35F17">
        <w:rPr>
          <w:b/>
          <w:sz w:val="21"/>
          <w:szCs w:val="21"/>
          <w:u w:val="single"/>
        </w:rPr>
        <w:t xml:space="preserve">Additional Illegalities </w:t>
      </w:r>
    </w:p>
    <w:p w14:paraId="16B7541C" w14:textId="6455A77A" w:rsidR="00F35F17" w:rsidRPr="00F35F17" w:rsidRDefault="00F35F17" w:rsidP="00F35F17">
      <w:pPr>
        <w:rPr>
          <w:color w:val="000000" w:themeColor="text1"/>
        </w:rPr>
      </w:pPr>
      <w:r w:rsidRPr="00F35F17">
        <w:rPr>
          <w:rFonts w:ascii="Calibri" w:hAnsi="Calibri" w:cs="Calibri"/>
          <w:color w:val="000000" w:themeColor="text1"/>
          <w:sz w:val="22"/>
          <w:szCs w:val="22"/>
        </w:rPr>
        <w:t xml:space="preserve">We have written to the Scottish Government highlighting </w:t>
      </w:r>
      <w:r w:rsidR="00C063F1">
        <w:rPr>
          <w:rFonts w:ascii="Calibri" w:hAnsi="Calibri" w:cs="Calibri"/>
          <w:color w:val="000000" w:themeColor="text1"/>
          <w:sz w:val="22"/>
          <w:szCs w:val="22"/>
        </w:rPr>
        <w:t xml:space="preserve">other </w:t>
      </w:r>
      <w:r w:rsidRPr="00F35F17">
        <w:rPr>
          <w:rFonts w:ascii="Calibri" w:hAnsi="Calibri" w:cs="Calibri"/>
          <w:color w:val="000000" w:themeColor="text1"/>
          <w:sz w:val="22"/>
          <w:szCs w:val="22"/>
        </w:rPr>
        <w:t>potential illegalities across Scotland’s licensing policies in light of the judicial review</w:t>
      </w:r>
      <w:r w:rsidRPr="00F35F17">
        <w:rPr>
          <w:rStyle w:val="FootnoteReference"/>
          <w:rFonts w:ascii="Calibri" w:hAnsi="Calibri" w:cs="Calibri"/>
          <w:color w:val="000000" w:themeColor="text1"/>
          <w:sz w:val="22"/>
          <w:szCs w:val="22"/>
        </w:rPr>
        <w:footnoteReference w:id="6"/>
      </w:r>
      <w:r w:rsidRPr="00F35F17">
        <w:rPr>
          <w:rFonts w:ascii="Calibri" w:hAnsi="Calibri" w:cs="Calibri"/>
          <w:color w:val="000000" w:themeColor="text1"/>
          <w:sz w:val="22"/>
          <w:szCs w:val="22"/>
        </w:rPr>
        <w:t xml:space="preserve">. </w:t>
      </w:r>
    </w:p>
    <w:p w14:paraId="515507C6" w14:textId="6871D699" w:rsidR="00F35F17" w:rsidRPr="00F35F17" w:rsidRDefault="0036482F" w:rsidP="0036482F">
      <w:pPr>
        <w:spacing w:before="100" w:beforeAutospacing="1" w:after="120"/>
        <w:rPr>
          <w:rFonts w:cstheme="minorHAnsi"/>
          <w:color w:val="000000" w:themeColor="text1"/>
          <w:sz w:val="22"/>
          <w:szCs w:val="22"/>
        </w:rPr>
      </w:pPr>
      <w:r>
        <w:rPr>
          <w:rFonts w:cstheme="minorHAnsi"/>
          <w:color w:val="000000" w:themeColor="text1"/>
          <w:sz w:val="22"/>
          <w:szCs w:val="22"/>
        </w:rPr>
        <w:t>W</w:t>
      </w:r>
      <w:r w:rsidR="00F35F17" w:rsidRPr="00F35F17">
        <w:rPr>
          <w:rFonts w:cstheme="minorHAnsi"/>
          <w:color w:val="000000" w:themeColor="text1"/>
          <w:sz w:val="22"/>
          <w:szCs w:val="22"/>
        </w:rPr>
        <w:t>e continue to question whether the Order is compliant with the European Convention on Human Rights (“ECHR”)</w:t>
      </w:r>
      <w:r w:rsidR="009A67E1">
        <w:rPr>
          <w:rFonts w:cstheme="minorHAnsi"/>
          <w:color w:val="000000" w:themeColor="text1"/>
          <w:sz w:val="22"/>
          <w:szCs w:val="22"/>
        </w:rPr>
        <w:t>, although the judicial review found inconclusive evidence of this</w:t>
      </w:r>
      <w:r w:rsidR="003E14C9">
        <w:rPr>
          <w:rFonts w:cstheme="minorHAnsi"/>
          <w:color w:val="000000" w:themeColor="text1"/>
          <w:sz w:val="22"/>
          <w:szCs w:val="22"/>
        </w:rPr>
        <w:t>, mostly due to the timing of the JR being in advance of 1/10/23</w:t>
      </w:r>
      <w:r w:rsidR="009A67E1">
        <w:rPr>
          <w:rFonts w:cstheme="minorHAnsi"/>
          <w:color w:val="000000" w:themeColor="text1"/>
          <w:sz w:val="22"/>
          <w:szCs w:val="22"/>
        </w:rPr>
        <w:t>.</w:t>
      </w:r>
      <w:r w:rsidR="00F35F17" w:rsidRPr="00F35F17">
        <w:rPr>
          <w:rFonts w:cstheme="minorHAnsi"/>
          <w:color w:val="000000" w:themeColor="text1"/>
          <w:sz w:val="22"/>
          <w:szCs w:val="22"/>
        </w:rPr>
        <w:t xml:space="preserve"> We have repeatedly flagged </w:t>
      </w:r>
      <w:r w:rsidR="00CC4480">
        <w:rPr>
          <w:rFonts w:cstheme="minorHAnsi"/>
          <w:color w:val="000000" w:themeColor="text1"/>
          <w:sz w:val="22"/>
          <w:szCs w:val="22"/>
        </w:rPr>
        <w:t>this</w:t>
      </w:r>
      <w:r w:rsidR="00F35F17" w:rsidRPr="00F35F17">
        <w:rPr>
          <w:rFonts w:cstheme="minorHAnsi"/>
          <w:color w:val="000000" w:themeColor="text1"/>
          <w:sz w:val="22"/>
          <w:szCs w:val="22"/>
        </w:rPr>
        <w:t xml:space="preserve"> </w:t>
      </w:r>
      <w:r w:rsidR="00F35F17" w:rsidRPr="00CC4480">
        <w:rPr>
          <w:rFonts w:cstheme="minorHAnsi"/>
          <w:bCs/>
          <w:color w:val="000000" w:themeColor="text1"/>
          <w:sz w:val="22"/>
          <w:szCs w:val="22"/>
        </w:rPr>
        <w:t xml:space="preserve">potential </w:t>
      </w:r>
      <w:r w:rsidR="00F35F17" w:rsidRPr="00F35F17">
        <w:rPr>
          <w:rFonts w:cstheme="minorHAnsi"/>
          <w:b/>
          <w:bCs/>
          <w:color w:val="000000" w:themeColor="text1"/>
          <w:sz w:val="22"/>
          <w:szCs w:val="22"/>
        </w:rPr>
        <w:t>Human Rights violation (protocol 1, article 1 and</w:t>
      </w:r>
      <w:r w:rsidR="00F35F17" w:rsidRPr="00F35F17">
        <w:rPr>
          <w:rFonts w:cstheme="minorHAnsi"/>
          <w:b/>
          <w:bCs/>
          <w:color w:val="000000" w:themeColor="text1"/>
          <w:sz w:val="22"/>
          <w:szCs w:val="22"/>
          <w:u w:val="single"/>
        </w:rPr>
        <w:t> </w:t>
      </w:r>
      <w:r w:rsidR="00F35F17" w:rsidRPr="00F35F17">
        <w:rPr>
          <w:rFonts w:cstheme="minorHAnsi"/>
          <w:b/>
          <w:bCs/>
          <w:color w:val="000000" w:themeColor="text1"/>
          <w:sz w:val="22"/>
          <w:szCs w:val="22"/>
        </w:rPr>
        <w:t>article 17 of the charter on fundamental rights – right to property</w:t>
      </w:r>
      <w:r w:rsidR="003F19A0">
        <w:rPr>
          <w:rFonts w:cstheme="minorHAnsi"/>
          <w:b/>
          <w:bCs/>
          <w:color w:val="000000" w:themeColor="text1"/>
          <w:sz w:val="22"/>
          <w:szCs w:val="22"/>
        </w:rPr>
        <w:t>)</w:t>
      </w:r>
      <w:r w:rsidR="00F35F17" w:rsidRPr="00F35F17">
        <w:rPr>
          <w:rFonts w:cstheme="minorHAnsi"/>
          <w:b/>
          <w:bCs/>
          <w:color w:val="000000" w:themeColor="text1"/>
          <w:sz w:val="22"/>
          <w:szCs w:val="22"/>
        </w:rPr>
        <w:t>.</w:t>
      </w:r>
      <w:r w:rsidR="00F35F17" w:rsidRPr="00F35F17">
        <w:rPr>
          <w:rFonts w:cstheme="minorHAnsi"/>
          <w:color w:val="000000" w:themeColor="text1"/>
          <w:sz w:val="22"/>
          <w:szCs w:val="22"/>
        </w:rPr>
        <w:t xml:space="preserve"> The lack of data to support the Order further underlines it ought to be regarded as irrational and arbitrary, such as in the case of R (</w:t>
      </w:r>
      <w:proofErr w:type="spellStart"/>
      <w:r w:rsidR="00F35F17" w:rsidRPr="00F35F17">
        <w:rPr>
          <w:rFonts w:cstheme="minorHAnsi"/>
          <w:color w:val="000000" w:themeColor="text1"/>
          <w:sz w:val="22"/>
          <w:szCs w:val="22"/>
        </w:rPr>
        <w:t>Kensall</w:t>
      </w:r>
      <w:proofErr w:type="spellEnd"/>
      <w:r w:rsidR="00F35F17" w:rsidRPr="00F35F17">
        <w:rPr>
          <w:rFonts w:cstheme="minorHAnsi"/>
          <w:color w:val="000000" w:themeColor="text1"/>
          <w:sz w:val="22"/>
          <w:szCs w:val="22"/>
        </w:rPr>
        <w:t xml:space="preserve">) v Secretary of State for Environment [2003] EWHC Admin 459, where measures were found to be in convention of ECHR rights. The short time duration of licenses, being three years, means that interference with peaceful enjoyment is extremely frequent and imposes an excessive burden, as in </w:t>
      </w:r>
      <w:proofErr w:type="spellStart"/>
      <w:r w:rsidR="00F35F17" w:rsidRPr="00F35F17">
        <w:rPr>
          <w:rFonts w:cstheme="minorHAnsi"/>
          <w:color w:val="000000" w:themeColor="text1"/>
          <w:sz w:val="22"/>
          <w:szCs w:val="22"/>
        </w:rPr>
        <w:t>Sporrong</w:t>
      </w:r>
      <w:proofErr w:type="spellEnd"/>
      <w:r w:rsidR="00F35F17" w:rsidRPr="00F35F17">
        <w:rPr>
          <w:rFonts w:cstheme="minorHAnsi"/>
          <w:color w:val="000000" w:themeColor="text1"/>
          <w:sz w:val="22"/>
          <w:szCs w:val="22"/>
        </w:rPr>
        <w:t xml:space="preserve"> and </w:t>
      </w:r>
      <w:proofErr w:type="spellStart"/>
      <w:r w:rsidR="00F35F17" w:rsidRPr="00F35F17">
        <w:rPr>
          <w:rFonts w:cstheme="minorHAnsi"/>
          <w:color w:val="000000" w:themeColor="text1"/>
          <w:sz w:val="22"/>
          <w:szCs w:val="22"/>
        </w:rPr>
        <w:t>Lönnroth</w:t>
      </w:r>
      <w:proofErr w:type="spellEnd"/>
      <w:r w:rsidR="00F35F17" w:rsidRPr="00F35F17">
        <w:rPr>
          <w:rFonts w:cstheme="minorHAnsi"/>
          <w:color w:val="000000" w:themeColor="text1"/>
          <w:sz w:val="22"/>
          <w:szCs w:val="22"/>
        </w:rPr>
        <w:t xml:space="preserve"> v Sweden [1983] 5 EHRR 35 where measures were found to be in contravention of the right to peaceful enjoyment of property.</w:t>
      </w:r>
      <w:r>
        <w:rPr>
          <w:rFonts w:cstheme="minorHAnsi"/>
          <w:color w:val="000000" w:themeColor="text1"/>
          <w:sz w:val="22"/>
          <w:szCs w:val="22"/>
        </w:rPr>
        <w:t xml:space="preserve"> </w:t>
      </w:r>
      <w:r w:rsidR="00F35F17" w:rsidRPr="00F35F17">
        <w:rPr>
          <w:rFonts w:cstheme="minorHAnsi"/>
          <w:color w:val="000000" w:themeColor="text1"/>
          <w:sz w:val="22"/>
          <w:szCs w:val="22"/>
        </w:rPr>
        <w:t>Article 17 of the Charter provides that everyone has the right to own, use, dispose of and bequeath his or her lawfully acquired possessions, and the use of property may be regulated by law only in so far as is necessary for the general interest.  For the reasons outlined above, we do not consider that objectively, a case has been made, backed up by evidence that the Order is either in the general interest or is only interfering in use of property so far as necessary. </w:t>
      </w:r>
    </w:p>
    <w:p w14:paraId="4618084D" w14:textId="7636128B" w:rsidR="00F35F17" w:rsidRPr="00F35F17" w:rsidRDefault="00F35F17" w:rsidP="00F35F17">
      <w:pPr>
        <w:spacing w:before="100" w:beforeAutospacing="1" w:after="100" w:afterAutospacing="1"/>
        <w:rPr>
          <w:rFonts w:cstheme="minorHAnsi"/>
          <w:color w:val="000000" w:themeColor="text1"/>
          <w:sz w:val="22"/>
          <w:szCs w:val="22"/>
        </w:rPr>
      </w:pPr>
      <w:r w:rsidRPr="00F35F17">
        <w:rPr>
          <w:rFonts w:cstheme="minorHAnsi"/>
          <w:color w:val="000000" w:themeColor="text1"/>
          <w:sz w:val="22"/>
          <w:szCs w:val="22"/>
        </w:rPr>
        <w:t xml:space="preserve">We maintain that the Order creates a regulatory framework that is manifestly inconsistent with the Scottish Government’s </w:t>
      </w:r>
      <w:r w:rsidRPr="0036482F">
        <w:rPr>
          <w:rFonts w:cstheme="minorHAnsi"/>
          <w:b/>
          <w:color w:val="000000" w:themeColor="text1"/>
          <w:sz w:val="22"/>
          <w:szCs w:val="22"/>
        </w:rPr>
        <w:t>Better Regulation Agenda</w:t>
      </w:r>
      <w:r w:rsidRPr="00F35F17">
        <w:rPr>
          <w:rFonts w:cstheme="minorHAnsi"/>
          <w:color w:val="000000" w:themeColor="text1"/>
          <w:sz w:val="22"/>
          <w:szCs w:val="22"/>
        </w:rPr>
        <w:t xml:space="preserve"> and the principles of regulation being proportionate; consistent; accountable; transparent and targeted only where needed.</w:t>
      </w:r>
    </w:p>
    <w:p w14:paraId="231FD190" w14:textId="1563F1F6" w:rsidR="00F35F17" w:rsidRDefault="00F35F17" w:rsidP="00AE6741">
      <w:pPr>
        <w:spacing w:before="100" w:beforeAutospacing="1" w:after="120"/>
        <w:rPr>
          <w:rFonts w:cstheme="minorHAnsi"/>
          <w:color w:val="000000" w:themeColor="text1"/>
          <w:sz w:val="22"/>
          <w:szCs w:val="22"/>
        </w:rPr>
      </w:pPr>
      <w:r w:rsidRPr="00F35F17">
        <w:rPr>
          <w:rFonts w:cstheme="minorHAnsi"/>
          <w:color w:val="000000" w:themeColor="text1"/>
          <w:sz w:val="22"/>
          <w:szCs w:val="22"/>
        </w:rPr>
        <w:t>It is also inconsistent with the </w:t>
      </w:r>
      <w:r w:rsidRPr="00F35F17">
        <w:rPr>
          <w:rFonts w:cstheme="minorHAnsi"/>
          <w:b/>
          <w:bCs/>
          <w:color w:val="000000" w:themeColor="text1"/>
          <w:sz w:val="22"/>
          <w:szCs w:val="22"/>
        </w:rPr>
        <w:t>Regulator’s Strategic Code of Practice:</w:t>
      </w:r>
      <w:r w:rsidRPr="00F35F17">
        <w:rPr>
          <w:rFonts w:cstheme="minorHAnsi"/>
          <w:color w:val="000000" w:themeColor="text1"/>
          <w:sz w:val="22"/>
          <w:szCs w:val="22"/>
        </w:rPr>
        <w:t> </w:t>
      </w:r>
      <w:r w:rsidRPr="00F35F17">
        <w:rPr>
          <w:rFonts w:cstheme="minorHAnsi"/>
          <w:b/>
          <w:bCs/>
          <w:color w:val="000000" w:themeColor="text1"/>
          <w:sz w:val="22"/>
          <w:szCs w:val="22"/>
        </w:rPr>
        <w:t>Clause 2,</w:t>
      </w:r>
      <w:r w:rsidRPr="00F35F17">
        <w:rPr>
          <w:rFonts w:cstheme="minorHAnsi"/>
          <w:color w:val="000000" w:themeColor="text1"/>
          <w:sz w:val="22"/>
          <w:szCs w:val="22"/>
        </w:rPr>
        <w:t> and </w:t>
      </w:r>
      <w:r w:rsidRPr="00F35F17">
        <w:rPr>
          <w:rFonts w:cstheme="minorHAnsi"/>
          <w:b/>
          <w:bCs/>
          <w:color w:val="000000" w:themeColor="text1"/>
          <w:sz w:val="22"/>
          <w:szCs w:val="22"/>
        </w:rPr>
        <w:t>Clause 3 of the Code </w:t>
      </w:r>
      <w:r w:rsidRPr="00F35F17">
        <w:rPr>
          <w:rFonts w:cstheme="minorHAnsi"/>
          <w:color w:val="000000" w:themeColor="text1"/>
          <w:sz w:val="22"/>
          <w:szCs w:val="22"/>
        </w:rPr>
        <w:t>which requires Regulators to be enablers to help support businesses to grow sustainably.  The Order has been evidenced to fail to meet this objective as it very clearly stifles rather than supports small businesses in this sector.  </w:t>
      </w:r>
    </w:p>
    <w:p w14:paraId="622D3248" w14:textId="77777777" w:rsidR="00AE6741" w:rsidRDefault="00AE6741" w:rsidP="009F4AA0">
      <w:pPr>
        <w:rPr>
          <w:rFonts w:cstheme="minorHAnsi"/>
          <w:color w:val="000000" w:themeColor="text1"/>
          <w:sz w:val="22"/>
          <w:szCs w:val="22"/>
        </w:rPr>
      </w:pPr>
    </w:p>
    <w:p w14:paraId="79579486" w14:textId="3BE52E47" w:rsidR="00F35F17" w:rsidRPr="00F35F17" w:rsidRDefault="00F35F17" w:rsidP="009F4AA0">
      <w:pPr>
        <w:rPr>
          <w:b/>
          <w:sz w:val="21"/>
          <w:szCs w:val="21"/>
          <w:u w:val="single"/>
        </w:rPr>
      </w:pPr>
      <w:r w:rsidRPr="00F35F17">
        <w:rPr>
          <w:b/>
          <w:sz w:val="21"/>
          <w:szCs w:val="21"/>
          <w:u w:val="single"/>
        </w:rPr>
        <w:t>Conclusion</w:t>
      </w:r>
    </w:p>
    <w:p w14:paraId="616B0A07" w14:textId="3DD5C5E9" w:rsidR="00867F47" w:rsidRDefault="00867F47" w:rsidP="00867F47">
      <w:pPr>
        <w:rPr>
          <w:rFonts w:ascii="Calibri" w:hAnsi="Calibri" w:cs="Calibri"/>
          <w:color w:val="000000"/>
          <w:sz w:val="21"/>
          <w:szCs w:val="21"/>
        </w:rPr>
      </w:pPr>
      <w:r w:rsidRPr="00487A84">
        <w:rPr>
          <w:rFonts w:ascii="Calibri" w:hAnsi="Calibri" w:cs="Calibri"/>
          <w:b/>
          <w:bCs/>
          <w:color w:val="000000"/>
          <w:sz w:val="21"/>
          <w:szCs w:val="21"/>
        </w:rPr>
        <w:t xml:space="preserve">The </w:t>
      </w:r>
      <w:r w:rsidR="00F46116" w:rsidRPr="00487A84">
        <w:rPr>
          <w:rFonts w:ascii="Calibri" w:hAnsi="Calibri" w:cs="Calibri"/>
          <w:b/>
          <w:bCs/>
          <w:color w:val="000000"/>
          <w:sz w:val="21"/>
          <w:szCs w:val="21"/>
        </w:rPr>
        <w:t>Association</w:t>
      </w:r>
      <w:r w:rsidRPr="00487A84">
        <w:rPr>
          <w:rFonts w:ascii="Calibri" w:hAnsi="Calibri" w:cs="Calibri"/>
          <w:b/>
          <w:bCs/>
          <w:color w:val="000000"/>
          <w:sz w:val="21"/>
          <w:szCs w:val="21"/>
        </w:rPr>
        <w:t xml:space="preserve"> of Scotland’s Self-Caterers has repeatedly advised on legally robust policy approaches which would fully meet the policy intentions of licensing but without the damaging consequences</w:t>
      </w:r>
      <w:r w:rsidRPr="00487A84">
        <w:rPr>
          <w:rFonts w:ascii="Calibri" w:hAnsi="Calibri" w:cs="Calibri"/>
          <w:color w:val="000000"/>
          <w:sz w:val="21"/>
          <w:szCs w:val="21"/>
        </w:rPr>
        <w:t xml:space="preserve">. We have provided clear evidence that our proposals are </w:t>
      </w:r>
      <w:r w:rsidRPr="00487A84">
        <w:rPr>
          <w:rFonts w:ascii="Calibri" w:hAnsi="Calibri" w:cs="Calibri"/>
          <w:b/>
          <w:bCs/>
          <w:color w:val="000000"/>
          <w:sz w:val="21"/>
          <w:szCs w:val="21"/>
        </w:rPr>
        <w:t>not</w:t>
      </w:r>
      <w:r w:rsidRPr="00487A84">
        <w:rPr>
          <w:rFonts w:ascii="Calibri" w:hAnsi="Calibri" w:cs="Calibri"/>
          <w:color w:val="000000"/>
          <w:sz w:val="21"/>
          <w:szCs w:val="21"/>
        </w:rPr>
        <w:t xml:space="preserve"> less robust than licensing, nor does our solution require primary legislation</w:t>
      </w:r>
      <w:r w:rsidRPr="00487A84">
        <w:rPr>
          <w:rStyle w:val="FootnoteReference"/>
          <w:rFonts w:ascii="Calibri" w:hAnsi="Calibri" w:cs="Calibri"/>
          <w:color w:val="000000"/>
          <w:sz w:val="21"/>
          <w:szCs w:val="21"/>
        </w:rPr>
        <w:footnoteReference w:id="7"/>
      </w:r>
      <w:r w:rsidRPr="00487A84">
        <w:rPr>
          <w:rFonts w:ascii="Calibri" w:hAnsi="Calibri" w:cs="Calibri"/>
          <w:color w:val="000000"/>
          <w:sz w:val="21"/>
          <w:szCs w:val="21"/>
        </w:rPr>
        <w:t>. As an industry</w:t>
      </w:r>
      <w:r w:rsidR="009B4BC6">
        <w:rPr>
          <w:rFonts w:ascii="Calibri" w:hAnsi="Calibri" w:cs="Calibri"/>
          <w:color w:val="000000"/>
          <w:sz w:val="21"/>
          <w:szCs w:val="21"/>
        </w:rPr>
        <w:t>,</w:t>
      </w:r>
      <w:r w:rsidRPr="00487A84">
        <w:rPr>
          <w:rFonts w:ascii="Calibri" w:hAnsi="Calibri" w:cs="Calibri"/>
          <w:color w:val="000000"/>
          <w:sz w:val="21"/>
          <w:szCs w:val="21"/>
        </w:rPr>
        <w:t xml:space="preserve"> we are not against regulation, but we are against poor legislation that is </w:t>
      </w:r>
      <w:r w:rsidR="003E14C9">
        <w:rPr>
          <w:rFonts w:ascii="Calibri" w:hAnsi="Calibri" w:cs="Calibri"/>
          <w:b/>
          <w:color w:val="000000"/>
          <w:sz w:val="21"/>
          <w:szCs w:val="21"/>
        </w:rPr>
        <w:t xml:space="preserve">unlawful, </w:t>
      </w:r>
      <w:r w:rsidRPr="00487A84">
        <w:rPr>
          <w:rFonts w:ascii="Calibri" w:hAnsi="Calibri" w:cs="Calibri"/>
          <w:b/>
          <w:color w:val="000000"/>
          <w:sz w:val="21"/>
          <w:szCs w:val="21"/>
        </w:rPr>
        <w:t>not fit for purpose, unjustified, disproportionate and discriminatory</w:t>
      </w:r>
      <w:r w:rsidRPr="00487A84">
        <w:rPr>
          <w:rFonts w:ascii="Calibri" w:hAnsi="Calibri" w:cs="Calibri"/>
          <w:color w:val="000000"/>
          <w:sz w:val="21"/>
          <w:szCs w:val="21"/>
        </w:rPr>
        <w:t>.</w:t>
      </w:r>
      <w:r w:rsidRPr="00487A84">
        <w:rPr>
          <w:rStyle w:val="FootnoteReference"/>
          <w:rFonts w:ascii="Calibri" w:hAnsi="Calibri" w:cs="Calibri"/>
          <w:color w:val="000000"/>
          <w:sz w:val="21"/>
          <w:szCs w:val="21"/>
        </w:rPr>
        <w:footnoteReference w:id="8"/>
      </w:r>
    </w:p>
    <w:p w14:paraId="4CA11595" w14:textId="5AC5C9E9" w:rsidR="00F73A32" w:rsidRDefault="00F73A32" w:rsidP="00867F47">
      <w:pPr>
        <w:rPr>
          <w:rFonts w:ascii="Calibri" w:hAnsi="Calibri" w:cs="Calibri"/>
          <w:color w:val="000000"/>
          <w:sz w:val="21"/>
          <w:szCs w:val="21"/>
        </w:rPr>
      </w:pPr>
    </w:p>
    <w:p w14:paraId="5EC70BB6" w14:textId="03154C94" w:rsidR="00406D7A" w:rsidRPr="0036482F" w:rsidRDefault="00F73A32" w:rsidP="00406D7A">
      <w:pPr>
        <w:rPr>
          <w:rFonts w:ascii="Calibri" w:hAnsi="Calibri" w:cs="Calibri"/>
          <w:color w:val="000000"/>
          <w:sz w:val="21"/>
          <w:szCs w:val="21"/>
        </w:rPr>
      </w:pPr>
      <w:r w:rsidRPr="00487A84">
        <w:rPr>
          <w:rFonts w:ascii="Calibri" w:hAnsi="Calibri" w:cs="Calibri"/>
          <w:color w:val="000000"/>
          <w:sz w:val="21"/>
          <w:szCs w:val="21"/>
        </w:rPr>
        <w:t xml:space="preserve">A revised regulatory framework, such as we have proposed, can and must work for everyone: businesses, local and national government, and local communities. </w:t>
      </w:r>
      <w:r w:rsidRPr="00F73A32">
        <w:rPr>
          <w:rFonts w:ascii="Calibri" w:hAnsi="Calibri" w:cs="Calibri"/>
          <w:b/>
          <w:color w:val="000000"/>
          <w:sz w:val="21"/>
          <w:szCs w:val="21"/>
        </w:rPr>
        <w:t>This approach is supported by the tourism industry across the UK</w:t>
      </w:r>
      <w:r w:rsidR="00BE3A8F">
        <w:rPr>
          <w:rFonts w:ascii="Calibri" w:hAnsi="Calibri" w:cs="Calibri"/>
          <w:b/>
          <w:color w:val="000000"/>
          <w:sz w:val="21"/>
          <w:szCs w:val="21"/>
        </w:rPr>
        <w:t>.</w:t>
      </w:r>
    </w:p>
    <w:sectPr w:rsidR="00406D7A" w:rsidRPr="0036482F" w:rsidSect="000E7DA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C7BE2" w14:textId="77777777" w:rsidR="00A14FC2" w:rsidRDefault="00A14FC2" w:rsidP="00867F47">
      <w:r>
        <w:separator/>
      </w:r>
    </w:p>
  </w:endnote>
  <w:endnote w:type="continuationSeparator" w:id="0">
    <w:p w14:paraId="398FCC5F" w14:textId="77777777" w:rsidR="00A14FC2" w:rsidRDefault="00A14FC2" w:rsidP="0086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C262" w14:textId="77777777" w:rsidR="00A14FC2" w:rsidRDefault="00A14FC2" w:rsidP="00867F47">
      <w:r>
        <w:separator/>
      </w:r>
    </w:p>
  </w:footnote>
  <w:footnote w:type="continuationSeparator" w:id="0">
    <w:p w14:paraId="37C247E0" w14:textId="77777777" w:rsidR="00A14FC2" w:rsidRDefault="00A14FC2" w:rsidP="00867F47">
      <w:r>
        <w:continuationSeparator/>
      </w:r>
    </w:p>
  </w:footnote>
  <w:footnote w:id="1">
    <w:p w14:paraId="2FE07BB6" w14:textId="77777777" w:rsidR="000F0586" w:rsidRDefault="000F0586" w:rsidP="000F0586">
      <w:pPr>
        <w:pStyle w:val="FootnoteText"/>
        <w:rPr>
          <w:sz w:val="18"/>
          <w:szCs w:val="18"/>
        </w:rPr>
      </w:pPr>
      <w:r w:rsidRPr="00F936B9">
        <w:rPr>
          <w:rStyle w:val="FootnoteReference"/>
          <w:sz w:val="18"/>
          <w:szCs w:val="18"/>
        </w:rPr>
        <w:footnoteRef/>
      </w:r>
      <w:r w:rsidRPr="00F936B9">
        <w:rPr>
          <w:sz w:val="18"/>
          <w:szCs w:val="18"/>
        </w:rPr>
        <w:t xml:space="preserve"> </w:t>
      </w:r>
      <w:hyperlink r:id="rId1" w:history="1">
        <w:r w:rsidRPr="007A39AF">
          <w:rPr>
            <w:rStyle w:val="Hyperlink"/>
            <w:sz w:val="18"/>
            <w:szCs w:val="18"/>
          </w:rPr>
          <w:t>https://www.assc.co.uk/industry-news/short-term-let-licensing-red-flags-and-solutions-11th-july-2023</w:t>
        </w:r>
      </w:hyperlink>
    </w:p>
    <w:p w14:paraId="51F6D207" w14:textId="77777777" w:rsidR="000F0586" w:rsidRPr="00F936B9" w:rsidRDefault="000F0586" w:rsidP="000F0586">
      <w:pPr>
        <w:pStyle w:val="FootnoteText"/>
        <w:rPr>
          <w:sz w:val="18"/>
          <w:szCs w:val="18"/>
        </w:rPr>
      </w:pPr>
    </w:p>
  </w:footnote>
  <w:footnote w:id="2">
    <w:p w14:paraId="1A235A95" w14:textId="77777777" w:rsidR="00AD6572" w:rsidRPr="00F17E03" w:rsidRDefault="00AD6572" w:rsidP="00AD6572">
      <w:pPr>
        <w:pStyle w:val="FootnoteText"/>
        <w:rPr>
          <w:sz w:val="18"/>
          <w:szCs w:val="18"/>
        </w:rPr>
      </w:pPr>
      <w:r w:rsidRPr="00F17E03">
        <w:rPr>
          <w:rStyle w:val="FootnoteReference"/>
          <w:sz w:val="18"/>
          <w:szCs w:val="18"/>
        </w:rPr>
        <w:footnoteRef/>
      </w:r>
      <w:r w:rsidRPr="00F17E03">
        <w:rPr>
          <w:sz w:val="18"/>
          <w:szCs w:val="18"/>
        </w:rPr>
        <w:t xml:space="preserve"> </w:t>
      </w:r>
      <w:hyperlink r:id="rId2" w:history="1">
        <w:r w:rsidRPr="00F17E03">
          <w:rPr>
            <w:rStyle w:val="Hyperlink"/>
            <w:sz w:val="18"/>
            <w:szCs w:val="18"/>
          </w:rPr>
          <w:t>https://www.assc.co.uk/news-items/snap-survey-assessing-the-impact-of-short-term-let-licensing-in-the-self-catering-sector-2</w:t>
        </w:r>
      </w:hyperlink>
    </w:p>
  </w:footnote>
  <w:footnote w:id="3">
    <w:p w14:paraId="67C716D9" w14:textId="77777777" w:rsidR="00B33DA0" w:rsidRPr="00C01F55" w:rsidRDefault="00B33DA0" w:rsidP="00B33DA0">
      <w:pPr>
        <w:pStyle w:val="FootnoteText"/>
        <w:rPr>
          <w:sz w:val="18"/>
          <w:szCs w:val="18"/>
        </w:rPr>
      </w:pPr>
      <w:r w:rsidRPr="00C01F55">
        <w:rPr>
          <w:rStyle w:val="FootnoteReference"/>
          <w:sz w:val="18"/>
          <w:szCs w:val="18"/>
        </w:rPr>
        <w:footnoteRef/>
      </w:r>
      <w:r w:rsidRPr="00C01F55">
        <w:rPr>
          <w:sz w:val="18"/>
          <w:szCs w:val="18"/>
        </w:rPr>
        <w:t xml:space="preserve"> https://www.assc.co.uk/representation/short-term-let-licensing-creates-immediate-barrier-to-investment</w:t>
      </w:r>
    </w:p>
  </w:footnote>
  <w:footnote w:id="4">
    <w:p w14:paraId="594160EF" w14:textId="6F995F78" w:rsidR="00AD6572" w:rsidRDefault="00AD6572">
      <w:pPr>
        <w:pStyle w:val="FootnoteText"/>
      </w:pPr>
      <w:r w:rsidRPr="00F17E03">
        <w:rPr>
          <w:rStyle w:val="FootnoteReference"/>
          <w:sz w:val="18"/>
          <w:szCs w:val="18"/>
        </w:rPr>
        <w:footnoteRef/>
      </w:r>
      <w:r w:rsidRPr="00F17E03">
        <w:rPr>
          <w:sz w:val="18"/>
          <w:szCs w:val="18"/>
        </w:rPr>
        <w:t xml:space="preserve"> </w:t>
      </w:r>
      <w:hyperlink r:id="rId3" w:anchor=":~:text=Consultation%20on%20a%20new%20use%20class%20for%20short%2Dterm%20lets&amp;text=The%20consultation%20seeks%20views%20on,lets%20and%20support%20sustainable%20communities." w:history="1">
        <w:r w:rsidR="00B775BA" w:rsidRPr="00B775BA">
          <w:rPr>
            <w:rStyle w:val="Hyperlink"/>
            <w:sz w:val="18"/>
            <w:szCs w:val="18"/>
          </w:rPr>
          <w:t>UK Government Consultation</w:t>
        </w:r>
      </w:hyperlink>
    </w:p>
  </w:footnote>
  <w:footnote w:id="5">
    <w:p w14:paraId="78BD9C59" w14:textId="54BA678C" w:rsidR="00CA2FAD" w:rsidRPr="00CA2FAD" w:rsidRDefault="00CA2FAD">
      <w:pPr>
        <w:pStyle w:val="FootnoteText"/>
        <w:rPr>
          <w:sz w:val="18"/>
          <w:szCs w:val="18"/>
        </w:rPr>
      </w:pPr>
      <w:r w:rsidRPr="00CA2FAD">
        <w:rPr>
          <w:rStyle w:val="FootnoteReference"/>
          <w:sz w:val="18"/>
          <w:szCs w:val="18"/>
        </w:rPr>
        <w:footnoteRef/>
      </w:r>
      <w:r w:rsidRPr="00CA2FAD">
        <w:rPr>
          <w:sz w:val="18"/>
          <w:szCs w:val="18"/>
        </w:rPr>
        <w:t xml:space="preserve"> https://www.legislation.gov.uk/ukpga/2020/27/contents/enacted</w:t>
      </w:r>
    </w:p>
  </w:footnote>
  <w:footnote w:id="6">
    <w:p w14:paraId="1B6F108A" w14:textId="5D014AD5" w:rsidR="00F35F17" w:rsidRDefault="00F35F17" w:rsidP="00F35F17">
      <w:pPr>
        <w:pStyle w:val="FootnoteText"/>
      </w:pPr>
      <w:r>
        <w:rPr>
          <w:rStyle w:val="FootnoteReference"/>
        </w:rPr>
        <w:footnoteRef/>
      </w:r>
      <w:r>
        <w:t xml:space="preserve"> </w:t>
      </w:r>
      <w:hyperlink r:id="rId4" w:history="1">
        <w:r w:rsidRPr="00F35F17">
          <w:rPr>
            <w:rStyle w:val="Hyperlink"/>
            <w:sz w:val="18"/>
            <w:szCs w:val="18"/>
          </w:rPr>
          <w:t>https://www.assc.co.uk/representation/local-authority-short-term-let-licensing-policies-illegalities</w:t>
        </w:r>
      </w:hyperlink>
    </w:p>
  </w:footnote>
  <w:footnote w:id="7">
    <w:p w14:paraId="626CABD3" w14:textId="77777777" w:rsidR="00867F47" w:rsidRPr="00F17E03" w:rsidRDefault="00867F47" w:rsidP="00867F47">
      <w:pPr>
        <w:pStyle w:val="FootnoteText"/>
        <w:rPr>
          <w:sz w:val="18"/>
          <w:szCs w:val="18"/>
        </w:rPr>
      </w:pPr>
      <w:r w:rsidRPr="00681482">
        <w:rPr>
          <w:rStyle w:val="FootnoteReference"/>
          <w:sz w:val="17"/>
          <w:szCs w:val="17"/>
        </w:rPr>
        <w:footnoteRef/>
      </w:r>
      <w:r w:rsidRPr="00681482">
        <w:rPr>
          <w:sz w:val="17"/>
          <w:szCs w:val="17"/>
        </w:rPr>
        <w:t xml:space="preserve"> </w:t>
      </w:r>
      <w:hyperlink r:id="rId5" w:history="1">
        <w:r w:rsidRPr="00F17E03">
          <w:rPr>
            <w:rStyle w:val="Hyperlink"/>
            <w:sz w:val="18"/>
            <w:szCs w:val="18"/>
          </w:rPr>
          <w:t>https://www.assc.co.uk/legislation/reasons-for-not-utilising-the-anti-social-behaviour-etc-scotland-act-2004-the-2004-act-to-regulate-the-short-term-let-sector</w:t>
        </w:r>
      </w:hyperlink>
    </w:p>
  </w:footnote>
  <w:footnote w:id="8">
    <w:p w14:paraId="7E08A31A" w14:textId="77777777" w:rsidR="00867F47" w:rsidRPr="00681482" w:rsidRDefault="00867F47" w:rsidP="00867F47">
      <w:pPr>
        <w:pStyle w:val="FootnoteText"/>
        <w:rPr>
          <w:sz w:val="17"/>
          <w:szCs w:val="17"/>
        </w:rPr>
      </w:pPr>
      <w:r w:rsidRPr="00F17E03">
        <w:rPr>
          <w:rStyle w:val="FootnoteReference"/>
          <w:sz w:val="18"/>
          <w:szCs w:val="18"/>
        </w:rPr>
        <w:footnoteRef/>
      </w:r>
      <w:r w:rsidRPr="00F17E03">
        <w:rPr>
          <w:sz w:val="18"/>
          <w:szCs w:val="18"/>
        </w:rPr>
        <w:t xml:space="preserve"> </w:t>
      </w:r>
      <w:r w:rsidRPr="00F17E03">
        <w:rPr>
          <w:rFonts w:ascii="Calibri" w:hAnsi="Calibri" w:cs="Calibri"/>
          <w:color w:val="000000"/>
          <w:sz w:val="18"/>
          <w:szCs w:val="18"/>
        </w:rPr>
        <w:t>As the trade body representing the self-catering sector, we called for registration with mandatory health and safety conditions in October 2017.</w:t>
      </w:r>
      <w:r w:rsidRPr="00681482">
        <w:rPr>
          <w:rFonts w:ascii="Calibri" w:hAnsi="Calibri" w:cs="Calibri"/>
          <w:color w:val="000000"/>
          <w:sz w:val="17"/>
          <w:szCs w:val="17"/>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FA1"/>
    <w:multiLevelType w:val="hybridMultilevel"/>
    <w:tmpl w:val="0B401956"/>
    <w:lvl w:ilvl="0" w:tplc="5302D65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3A033F"/>
    <w:multiLevelType w:val="hybridMultilevel"/>
    <w:tmpl w:val="6EB6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E2761"/>
    <w:multiLevelType w:val="multilevel"/>
    <w:tmpl w:val="C304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1665D"/>
    <w:multiLevelType w:val="multilevel"/>
    <w:tmpl w:val="8A3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F57BE"/>
    <w:multiLevelType w:val="hybridMultilevel"/>
    <w:tmpl w:val="CEC8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51832"/>
    <w:multiLevelType w:val="hybridMultilevel"/>
    <w:tmpl w:val="D972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96B76"/>
    <w:multiLevelType w:val="hybridMultilevel"/>
    <w:tmpl w:val="B2D4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A0DEE"/>
    <w:multiLevelType w:val="multilevel"/>
    <w:tmpl w:val="2F40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97B21"/>
    <w:multiLevelType w:val="hybridMultilevel"/>
    <w:tmpl w:val="FCE2F0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41112"/>
    <w:multiLevelType w:val="multilevel"/>
    <w:tmpl w:val="1D14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C35B7C"/>
    <w:multiLevelType w:val="hybridMultilevel"/>
    <w:tmpl w:val="C7A2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11C3F"/>
    <w:multiLevelType w:val="multilevel"/>
    <w:tmpl w:val="A85E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1"/>
  </w:num>
  <w:num w:numId="4">
    <w:abstractNumId w:val="1"/>
  </w:num>
  <w:num w:numId="5">
    <w:abstractNumId w:val="8"/>
  </w:num>
  <w:num w:numId="6">
    <w:abstractNumId w:val="3"/>
  </w:num>
  <w:num w:numId="7">
    <w:abstractNumId w:val="0"/>
  </w:num>
  <w:num w:numId="8">
    <w:abstractNumId w:val="2"/>
  </w:num>
  <w:num w:numId="9">
    <w:abstractNumId w:val="4"/>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AC"/>
    <w:rsid w:val="000037C0"/>
    <w:rsid w:val="000105CC"/>
    <w:rsid w:val="00025299"/>
    <w:rsid w:val="000508C3"/>
    <w:rsid w:val="000801A4"/>
    <w:rsid w:val="000B1557"/>
    <w:rsid w:val="000E7DA1"/>
    <w:rsid w:val="000F0586"/>
    <w:rsid w:val="000F2FCE"/>
    <w:rsid w:val="00124DF8"/>
    <w:rsid w:val="00162B86"/>
    <w:rsid w:val="001744D1"/>
    <w:rsid w:val="0018427D"/>
    <w:rsid w:val="00211124"/>
    <w:rsid w:val="002323FD"/>
    <w:rsid w:val="002410E1"/>
    <w:rsid w:val="002513CB"/>
    <w:rsid w:val="00305E49"/>
    <w:rsid w:val="00325594"/>
    <w:rsid w:val="00332740"/>
    <w:rsid w:val="003414A7"/>
    <w:rsid w:val="0036482F"/>
    <w:rsid w:val="00376F15"/>
    <w:rsid w:val="00380BE7"/>
    <w:rsid w:val="003834E2"/>
    <w:rsid w:val="003E14C9"/>
    <w:rsid w:val="003F19A0"/>
    <w:rsid w:val="00406D7A"/>
    <w:rsid w:val="004426AC"/>
    <w:rsid w:val="0044685B"/>
    <w:rsid w:val="00487A84"/>
    <w:rsid w:val="005153B5"/>
    <w:rsid w:val="00543325"/>
    <w:rsid w:val="005927C3"/>
    <w:rsid w:val="005E6706"/>
    <w:rsid w:val="005F0025"/>
    <w:rsid w:val="00610319"/>
    <w:rsid w:val="006521C5"/>
    <w:rsid w:val="00654D51"/>
    <w:rsid w:val="006872C2"/>
    <w:rsid w:val="006B4023"/>
    <w:rsid w:val="006D77E7"/>
    <w:rsid w:val="007547BA"/>
    <w:rsid w:val="00795124"/>
    <w:rsid w:val="007F2CBF"/>
    <w:rsid w:val="00807BDF"/>
    <w:rsid w:val="00851435"/>
    <w:rsid w:val="00867F47"/>
    <w:rsid w:val="00875EE8"/>
    <w:rsid w:val="00886BFC"/>
    <w:rsid w:val="00907B20"/>
    <w:rsid w:val="009321EA"/>
    <w:rsid w:val="0095027D"/>
    <w:rsid w:val="009A67E1"/>
    <w:rsid w:val="009B4BC6"/>
    <w:rsid w:val="009C5676"/>
    <w:rsid w:val="009C6EAB"/>
    <w:rsid w:val="009D2847"/>
    <w:rsid w:val="009F4AA0"/>
    <w:rsid w:val="00A14FC2"/>
    <w:rsid w:val="00A1543D"/>
    <w:rsid w:val="00A15559"/>
    <w:rsid w:val="00A21CE2"/>
    <w:rsid w:val="00A41A23"/>
    <w:rsid w:val="00A5739E"/>
    <w:rsid w:val="00A73116"/>
    <w:rsid w:val="00AC4100"/>
    <w:rsid w:val="00AD6572"/>
    <w:rsid w:val="00AE6741"/>
    <w:rsid w:val="00B33DA0"/>
    <w:rsid w:val="00B775BA"/>
    <w:rsid w:val="00B970AF"/>
    <w:rsid w:val="00B9779C"/>
    <w:rsid w:val="00BE0ABE"/>
    <w:rsid w:val="00BE3A8F"/>
    <w:rsid w:val="00C01199"/>
    <w:rsid w:val="00C01F55"/>
    <w:rsid w:val="00C063F1"/>
    <w:rsid w:val="00C1617E"/>
    <w:rsid w:val="00CA2FAD"/>
    <w:rsid w:val="00CC4480"/>
    <w:rsid w:val="00CF65B1"/>
    <w:rsid w:val="00D14DDB"/>
    <w:rsid w:val="00D217AD"/>
    <w:rsid w:val="00D5626E"/>
    <w:rsid w:val="00E07F89"/>
    <w:rsid w:val="00E11272"/>
    <w:rsid w:val="00E228AC"/>
    <w:rsid w:val="00E42BE0"/>
    <w:rsid w:val="00E501CA"/>
    <w:rsid w:val="00E620EB"/>
    <w:rsid w:val="00E6763F"/>
    <w:rsid w:val="00E70181"/>
    <w:rsid w:val="00EE13E4"/>
    <w:rsid w:val="00F10293"/>
    <w:rsid w:val="00F17E03"/>
    <w:rsid w:val="00F35F17"/>
    <w:rsid w:val="00F43B20"/>
    <w:rsid w:val="00F46116"/>
    <w:rsid w:val="00F52B2D"/>
    <w:rsid w:val="00F611C8"/>
    <w:rsid w:val="00F66547"/>
    <w:rsid w:val="00F73A32"/>
    <w:rsid w:val="00F936B9"/>
    <w:rsid w:val="00FF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F1ADD6"/>
  <w15:chartTrackingRefBased/>
  <w15:docId w15:val="{6A744F75-AE48-914D-8701-992301A9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8A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228AC"/>
    <w:rPr>
      <w:b/>
      <w:bCs/>
    </w:rPr>
  </w:style>
  <w:style w:type="paragraph" w:styleId="ListParagraph">
    <w:name w:val="List Paragraph"/>
    <w:basedOn w:val="Normal"/>
    <w:uiPriority w:val="34"/>
    <w:qFormat/>
    <w:rsid w:val="00E228AC"/>
    <w:pPr>
      <w:ind w:left="720"/>
      <w:contextualSpacing/>
    </w:pPr>
  </w:style>
  <w:style w:type="character" w:styleId="Hyperlink">
    <w:name w:val="Hyperlink"/>
    <w:basedOn w:val="DefaultParagraphFont"/>
    <w:uiPriority w:val="99"/>
    <w:unhideWhenUsed/>
    <w:rsid w:val="00867F47"/>
    <w:rPr>
      <w:color w:val="0563C1" w:themeColor="hyperlink"/>
      <w:u w:val="single"/>
    </w:rPr>
  </w:style>
  <w:style w:type="paragraph" w:styleId="FootnoteText">
    <w:name w:val="footnote text"/>
    <w:basedOn w:val="Normal"/>
    <w:link w:val="FootnoteTextChar"/>
    <w:uiPriority w:val="99"/>
    <w:semiHidden/>
    <w:unhideWhenUsed/>
    <w:rsid w:val="00867F47"/>
    <w:rPr>
      <w:sz w:val="20"/>
      <w:szCs w:val="20"/>
    </w:rPr>
  </w:style>
  <w:style w:type="character" w:customStyle="1" w:styleId="FootnoteTextChar">
    <w:name w:val="Footnote Text Char"/>
    <w:basedOn w:val="DefaultParagraphFont"/>
    <w:link w:val="FootnoteText"/>
    <w:uiPriority w:val="99"/>
    <w:semiHidden/>
    <w:rsid w:val="00867F47"/>
    <w:rPr>
      <w:sz w:val="20"/>
      <w:szCs w:val="20"/>
    </w:rPr>
  </w:style>
  <w:style w:type="character" w:styleId="FootnoteReference">
    <w:name w:val="footnote reference"/>
    <w:basedOn w:val="DefaultParagraphFont"/>
    <w:uiPriority w:val="99"/>
    <w:semiHidden/>
    <w:unhideWhenUsed/>
    <w:rsid w:val="00867F47"/>
    <w:rPr>
      <w:vertAlign w:val="superscript"/>
    </w:rPr>
  </w:style>
  <w:style w:type="character" w:customStyle="1" w:styleId="apple-converted-space">
    <w:name w:val="apple-converted-space"/>
    <w:basedOn w:val="DefaultParagraphFont"/>
    <w:rsid w:val="002513CB"/>
  </w:style>
  <w:style w:type="character" w:styleId="UnresolvedMention">
    <w:name w:val="Unresolved Mention"/>
    <w:basedOn w:val="DefaultParagraphFont"/>
    <w:uiPriority w:val="99"/>
    <w:semiHidden/>
    <w:unhideWhenUsed/>
    <w:rsid w:val="00B775BA"/>
    <w:rPr>
      <w:color w:val="605E5C"/>
      <w:shd w:val="clear" w:color="auto" w:fill="E1DFDD"/>
    </w:rPr>
  </w:style>
  <w:style w:type="character" w:styleId="Emphasis">
    <w:name w:val="Emphasis"/>
    <w:basedOn w:val="DefaultParagraphFont"/>
    <w:uiPriority w:val="20"/>
    <w:qFormat/>
    <w:rsid w:val="00406D7A"/>
    <w:rPr>
      <w:i/>
      <w:iCs/>
    </w:rPr>
  </w:style>
  <w:style w:type="character" w:styleId="FollowedHyperlink">
    <w:name w:val="FollowedHyperlink"/>
    <w:basedOn w:val="DefaultParagraphFont"/>
    <w:uiPriority w:val="99"/>
    <w:semiHidden/>
    <w:unhideWhenUsed/>
    <w:rsid w:val="009C6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8267">
      <w:bodyDiv w:val="1"/>
      <w:marLeft w:val="0"/>
      <w:marRight w:val="0"/>
      <w:marTop w:val="0"/>
      <w:marBottom w:val="0"/>
      <w:divBdr>
        <w:top w:val="none" w:sz="0" w:space="0" w:color="auto"/>
        <w:left w:val="none" w:sz="0" w:space="0" w:color="auto"/>
        <w:bottom w:val="none" w:sz="0" w:space="0" w:color="auto"/>
        <w:right w:val="none" w:sz="0" w:space="0" w:color="auto"/>
      </w:divBdr>
    </w:div>
    <w:div w:id="240992199">
      <w:bodyDiv w:val="1"/>
      <w:marLeft w:val="0"/>
      <w:marRight w:val="0"/>
      <w:marTop w:val="0"/>
      <w:marBottom w:val="0"/>
      <w:divBdr>
        <w:top w:val="none" w:sz="0" w:space="0" w:color="auto"/>
        <w:left w:val="none" w:sz="0" w:space="0" w:color="auto"/>
        <w:bottom w:val="none" w:sz="0" w:space="0" w:color="auto"/>
        <w:right w:val="none" w:sz="0" w:space="0" w:color="auto"/>
      </w:divBdr>
    </w:div>
    <w:div w:id="439110092">
      <w:bodyDiv w:val="1"/>
      <w:marLeft w:val="0"/>
      <w:marRight w:val="0"/>
      <w:marTop w:val="0"/>
      <w:marBottom w:val="0"/>
      <w:divBdr>
        <w:top w:val="none" w:sz="0" w:space="0" w:color="auto"/>
        <w:left w:val="none" w:sz="0" w:space="0" w:color="auto"/>
        <w:bottom w:val="none" w:sz="0" w:space="0" w:color="auto"/>
        <w:right w:val="none" w:sz="0" w:space="0" w:color="auto"/>
      </w:divBdr>
    </w:div>
    <w:div w:id="477843409">
      <w:bodyDiv w:val="1"/>
      <w:marLeft w:val="0"/>
      <w:marRight w:val="0"/>
      <w:marTop w:val="0"/>
      <w:marBottom w:val="0"/>
      <w:divBdr>
        <w:top w:val="none" w:sz="0" w:space="0" w:color="auto"/>
        <w:left w:val="none" w:sz="0" w:space="0" w:color="auto"/>
        <w:bottom w:val="none" w:sz="0" w:space="0" w:color="auto"/>
        <w:right w:val="none" w:sz="0" w:space="0" w:color="auto"/>
      </w:divBdr>
    </w:div>
    <w:div w:id="711610104">
      <w:bodyDiv w:val="1"/>
      <w:marLeft w:val="0"/>
      <w:marRight w:val="0"/>
      <w:marTop w:val="0"/>
      <w:marBottom w:val="0"/>
      <w:divBdr>
        <w:top w:val="none" w:sz="0" w:space="0" w:color="auto"/>
        <w:left w:val="none" w:sz="0" w:space="0" w:color="auto"/>
        <w:bottom w:val="none" w:sz="0" w:space="0" w:color="auto"/>
        <w:right w:val="none" w:sz="0" w:space="0" w:color="auto"/>
      </w:divBdr>
    </w:div>
    <w:div w:id="850678328">
      <w:bodyDiv w:val="1"/>
      <w:marLeft w:val="0"/>
      <w:marRight w:val="0"/>
      <w:marTop w:val="0"/>
      <w:marBottom w:val="0"/>
      <w:divBdr>
        <w:top w:val="none" w:sz="0" w:space="0" w:color="auto"/>
        <w:left w:val="none" w:sz="0" w:space="0" w:color="auto"/>
        <w:bottom w:val="none" w:sz="0" w:space="0" w:color="auto"/>
        <w:right w:val="none" w:sz="0" w:space="0" w:color="auto"/>
      </w:divBdr>
    </w:div>
    <w:div w:id="1333333800">
      <w:bodyDiv w:val="1"/>
      <w:marLeft w:val="0"/>
      <w:marRight w:val="0"/>
      <w:marTop w:val="0"/>
      <w:marBottom w:val="0"/>
      <w:divBdr>
        <w:top w:val="none" w:sz="0" w:space="0" w:color="auto"/>
        <w:left w:val="none" w:sz="0" w:space="0" w:color="auto"/>
        <w:bottom w:val="none" w:sz="0" w:space="0" w:color="auto"/>
        <w:right w:val="none" w:sz="0" w:space="0" w:color="auto"/>
      </w:divBdr>
    </w:div>
    <w:div w:id="1422415045">
      <w:bodyDiv w:val="1"/>
      <w:marLeft w:val="0"/>
      <w:marRight w:val="0"/>
      <w:marTop w:val="0"/>
      <w:marBottom w:val="0"/>
      <w:divBdr>
        <w:top w:val="none" w:sz="0" w:space="0" w:color="auto"/>
        <w:left w:val="none" w:sz="0" w:space="0" w:color="auto"/>
        <w:bottom w:val="none" w:sz="0" w:space="0" w:color="auto"/>
        <w:right w:val="none" w:sz="0" w:space="0" w:color="auto"/>
      </w:divBdr>
    </w:div>
    <w:div w:id="17759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nsultations/consultation-on-a-registration-scheme-for-short-term-lets-in-england/consultation-on-a-registration-scheme-for-short-term-lets-in-england" TargetMode="External"/><Relationship Id="rId2" Type="http://schemas.openxmlformats.org/officeDocument/2006/relationships/hyperlink" Target="https://www.assc.co.uk/news-items/snap-survey-assessing-the-impact-of-short-term-let-licensing-in-the-self-catering-sector-2" TargetMode="External"/><Relationship Id="rId1" Type="http://schemas.openxmlformats.org/officeDocument/2006/relationships/hyperlink" Target="https://www.assc.co.uk/industry-news/short-term-let-licensing-red-flags-and-solutions-11th-july-2023" TargetMode="External"/><Relationship Id="rId5" Type="http://schemas.openxmlformats.org/officeDocument/2006/relationships/hyperlink" Target="https://www.assc.co.uk/legislation/reasons-for-not-utilising-the-anti-social-behaviour-etc-scotland-act-2004-the-2004-act-to-regulate-the-short-term-let-sector" TargetMode="External"/><Relationship Id="rId4" Type="http://schemas.openxmlformats.org/officeDocument/2006/relationships/hyperlink" Target="https://www.assc.co.uk/representation/local-authority-short-term-let-licensing-policies-illega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79</cp:revision>
  <dcterms:created xsi:type="dcterms:W3CDTF">2023-07-22T07:39:00Z</dcterms:created>
  <dcterms:modified xsi:type="dcterms:W3CDTF">2023-07-23T21:49:00Z</dcterms:modified>
</cp:coreProperties>
</file>