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5D8F1" w14:textId="19351FF8" w:rsidR="00E546A5" w:rsidRDefault="00E546A5" w:rsidP="00E546A5">
      <w:pPr>
        <w:pStyle w:val="NormalWeb"/>
        <w:jc w:val="center"/>
        <w:rPr>
          <w:rFonts w:asciiTheme="minorHAnsi" w:hAnsiTheme="minorHAnsi" w:cstheme="minorHAnsi"/>
          <w:b/>
          <w:sz w:val="21"/>
          <w:szCs w:val="21"/>
        </w:rPr>
      </w:pPr>
      <w:r>
        <w:rPr>
          <w:rFonts w:asciiTheme="minorHAnsi" w:hAnsiTheme="minorHAnsi" w:cstheme="minorHAnsi"/>
          <w:b/>
          <w:noProof/>
          <w:sz w:val="21"/>
          <w:szCs w:val="21"/>
        </w:rPr>
        <w:drawing>
          <wp:inline distT="0" distB="0" distL="0" distR="0" wp14:anchorId="26182584" wp14:editId="23E7364B">
            <wp:extent cx="838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5_logo_small.jpg"/>
                    <pic:cNvPicPr/>
                  </pic:nvPicPr>
                  <pic:blipFill>
                    <a:blip r:embed="rId7">
                      <a:extLst>
                        <a:ext uri="{28A0092B-C50C-407E-A947-70E740481C1C}">
                          <a14:useLocalDpi xmlns:a14="http://schemas.microsoft.com/office/drawing/2010/main" val="0"/>
                        </a:ext>
                      </a:extLst>
                    </a:blip>
                    <a:stretch>
                      <a:fillRect/>
                    </a:stretch>
                  </pic:blipFill>
                  <pic:spPr>
                    <a:xfrm>
                      <a:off x="0" y="0"/>
                      <a:ext cx="838200" cy="1066800"/>
                    </a:xfrm>
                    <a:prstGeom prst="rect">
                      <a:avLst/>
                    </a:prstGeom>
                  </pic:spPr>
                </pic:pic>
              </a:graphicData>
            </a:graphic>
          </wp:inline>
        </w:drawing>
      </w:r>
    </w:p>
    <w:p w14:paraId="6B936A08" w14:textId="6EE0C22B" w:rsidR="00935E57" w:rsidRPr="009F79B5" w:rsidRDefault="00935E57" w:rsidP="006D300C">
      <w:pPr>
        <w:pStyle w:val="NormalWeb"/>
        <w:jc w:val="center"/>
        <w:rPr>
          <w:rFonts w:asciiTheme="minorHAnsi" w:hAnsiTheme="minorHAnsi" w:cstheme="minorHAnsi"/>
          <w:b/>
          <w:sz w:val="20"/>
          <w:szCs w:val="20"/>
        </w:rPr>
      </w:pPr>
      <w:r w:rsidRPr="009F79B5">
        <w:rPr>
          <w:rFonts w:asciiTheme="minorHAnsi" w:hAnsiTheme="minorHAnsi" w:cstheme="minorHAnsi"/>
          <w:b/>
          <w:sz w:val="20"/>
          <w:szCs w:val="20"/>
        </w:rPr>
        <w:t>Furnished Holiday Let Abolition</w:t>
      </w:r>
    </w:p>
    <w:p w14:paraId="563900AF" w14:textId="1590BAFE" w:rsidR="00935E57" w:rsidRPr="009F79B5" w:rsidRDefault="00935E57" w:rsidP="00935E57">
      <w:pPr>
        <w:pStyle w:val="NormalWeb"/>
        <w:rPr>
          <w:rFonts w:asciiTheme="minorHAnsi" w:hAnsiTheme="minorHAnsi" w:cstheme="minorHAnsi"/>
          <w:sz w:val="20"/>
          <w:szCs w:val="20"/>
        </w:rPr>
      </w:pPr>
      <w:r w:rsidRPr="009F79B5">
        <w:rPr>
          <w:rFonts w:asciiTheme="minorHAnsi" w:hAnsiTheme="minorHAnsi" w:cstheme="minorHAnsi"/>
          <w:sz w:val="20"/>
          <w:szCs w:val="20"/>
        </w:rPr>
        <w:t xml:space="preserve">The proposed abolition of the Furnished Holiday Let regime risks inflicting severe damage on </w:t>
      </w:r>
      <w:r w:rsidRPr="009F79B5">
        <w:rPr>
          <w:rFonts w:asciiTheme="minorHAnsi" w:hAnsiTheme="minorHAnsi" w:cstheme="minorHAnsi"/>
          <w:sz w:val="20"/>
          <w:szCs w:val="20"/>
        </w:rPr>
        <w:t>an</w:t>
      </w:r>
      <w:r w:rsidRPr="009F79B5">
        <w:rPr>
          <w:rFonts w:asciiTheme="minorHAnsi" w:hAnsiTheme="minorHAnsi" w:cstheme="minorHAnsi"/>
          <w:sz w:val="20"/>
          <w:szCs w:val="20"/>
        </w:rPr>
        <w:t xml:space="preserve"> industry which is indispensable</w:t>
      </w:r>
      <w:r w:rsidRPr="009F79B5">
        <w:rPr>
          <w:rFonts w:asciiTheme="minorHAnsi" w:hAnsiTheme="minorHAnsi" w:cstheme="minorHAnsi"/>
          <w:sz w:val="20"/>
          <w:szCs w:val="20"/>
        </w:rPr>
        <w:t xml:space="preserve"> across the UK, and especially</w:t>
      </w:r>
      <w:r w:rsidRPr="009F79B5">
        <w:rPr>
          <w:rFonts w:asciiTheme="minorHAnsi" w:hAnsiTheme="minorHAnsi" w:cstheme="minorHAnsi"/>
          <w:sz w:val="20"/>
          <w:szCs w:val="20"/>
        </w:rPr>
        <w:t xml:space="preserve"> to rural and coastal economies. It is a direct threat to the future viability of th</w:t>
      </w:r>
      <w:r w:rsidRPr="009F79B5">
        <w:rPr>
          <w:rFonts w:asciiTheme="minorHAnsi" w:hAnsiTheme="minorHAnsi" w:cstheme="minorHAnsi"/>
          <w:sz w:val="20"/>
          <w:szCs w:val="20"/>
        </w:rPr>
        <w:t>e self-catering</w:t>
      </w:r>
      <w:r w:rsidRPr="009F79B5">
        <w:rPr>
          <w:rFonts w:asciiTheme="minorHAnsi" w:hAnsiTheme="minorHAnsi" w:cstheme="minorHAnsi"/>
          <w:sz w:val="20"/>
          <w:szCs w:val="20"/>
        </w:rPr>
        <w:t xml:space="preserve"> sector and the many SMEs and micro businesses that are part of it, including many in the </w:t>
      </w:r>
      <w:r w:rsidR="004B6A30" w:rsidRPr="009F79B5">
        <w:rPr>
          <w:rFonts w:asciiTheme="minorHAnsi" w:hAnsiTheme="minorHAnsi" w:cstheme="minorHAnsi"/>
          <w:sz w:val="20"/>
          <w:szCs w:val="20"/>
        </w:rPr>
        <w:t>Scottish Agritourism</w:t>
      </w:r>
      <w:r w:rsidRPr="009F79B5">
        <w:rPr>
          <w:rFonts w:asciiTheme="minorHAnsi" w:hAnsiTheme="minorHAnsi" w:cstheme="minorHAnsi"/>
          <w:sz w:val="20"/>
          <w:szCs w:val="20"/>
        </w:rPr>
        <w:t xml:space="preserve"> community</w:t>
      </w:r>
      <w:r w:rsidRPr="009F79B5">
        <w:rPr>
          <w:rFonts w:asciiTheme="minorHAnsi" w:hAnsiTheme="minorHAnsi" w:cstheme="minorHAnsi"/>
          <w:sz w:val="20"/>
          <w:szCs w:val="20"/>
        </w:rPr>
        <w:t xml:space="preserve">. </w:t>
      </w:r>
    </w:p>
    <w:p w14:paraId="0E2F0C2E" w14:textId="77777777" w:rsidR="00935E57" w:rsidRPr="009F79B5" w:rsidRDefault="00935E57" w:rsidP="00935E57">
      <w:pPr>
        <w:pStyle w:val="NormalWeb"/>
        <w:rPr>
          <w:rFonts w:asciiTheme="minorHAnsi" w:hAnsiTheme="minorHAnsi" w:cstheme="minorHAnsi"/>
          <w:sz w:val="20"/>
          <w:szCs w:val="20"/>
        </w:rPr>
      </w:pPr>
      <w:r w:rsidRPr="009F79B5">
        <w:rPr>
          <w:rFonts w:asciiTheme="minorHAnsi" w:hAnsiTheme="minorHAnsi" w:cstheme="minorHAnsi"/>
          <w:b/>
          <w:bCs/>
          <w:sz w:val="20"/>
          <w:szCs w:val="20"/>
        </w:rPr>
        <w:t xml:space="preserve">The Furnished Holiday Let Regime </w:t>
      </w:r>
    </w:p>
    <w:p w14:paraId="3DF3086B" w14:textId="68A327A8" w:rsidR="00935E57" w:rsidRPr="009F79B5" w:rsidRDefault="00935E57" w:rsidP="00935E57">
      <w:pPr>
        <w:pStyle w:val="NormalWeb"/>
        <w:rPr>
          <w:rFonts w:asciiTheme="minorHAnsi" w:hAnsiTheme="minorHAnsi" w:cstheme="minorHAnsi"/>
          <w:sz w:val="20"/>
          <w:szCs w:val="20"/>
        </w:rPr>
      </w:pPr>
      <w:r w:rsidRPr="009F79B5">
        <w:rPr>
          <w:rFonts w:asciiTheme="minorHAnsi" w:hAnsiTheme="minorHAnsi" w:cstheme="minorHAnsi"/>
          <w:sz w:val="20"/>
          <w:szCs w:val="20"/>
        </w:rPr>
        <w:t xml:space="preserve">The Furnished Holiday Let regime is not a “loophole”. It was specifically designed to provide a </w:t>
      </w:r>
      <w:hyperlink r:id="rId8" w:history="1">
        <w:r w:rsidRPr="009F79B5">
          <w:rPr>
            <w:rStyle w:val="Hyperlink"/>
            <w:rFonts w:asciiTheme="minorHAnsi" w:hAnsiTheme="minorHAnsi" w:cstheme="minorHAnsi"/>
            <w:sz w:val="20"/>
            <w:szCs w:val="20"/>
          </w:rPr>
          <w:t>fair tax regime for these important trading businesses</w:t>
        </w:r>
      </w:hyperlink>
      <w:r w:rsidRPr="009F79B5">
        <w:rPr>
          <w:rFonts w:asciiTheme="minorHAnsi" w:hAnsiTheme="minorHAnsi" w:cstheme="minorHAnsi"/>
          <w:sz w:val="20"/>
          <w:szCs w:val="20"/>
        </w:rPr>
        <w:t>. It encourages entrepreneurship</w:t>
      </w:r>
      <w:r w:rsidR="00BE1014" w:rsidRPr="009F79B5">
        <w:rPr>
          <w:rFonts w:asciiTheme="minorHAnsi" w:hAnsiTheme="minorHAnsi" w:cstheme="minorHAnsi"/>
          <w:sz w:val="20"/>
          <w:szCs w:val="20"/>
        </w:rPr>
        <w:t xml:space="preserve">, </w:t>
      </w:r>
      <w:r w:rsidRPr="009F79B5">
        <w:rPr>
          <w:rFonts w:asciiTheme="minorHAnsi" w:hAnsiTheme="minorHAnsi" w:cstheme="minorHAnsi"/>
          <w:sz w:val="20"/>
          <w:szCs w:val="20"/>
        </w:rPr>
        <w:t xml:space="preserve">investment and it drives growth in rural and coastal areas. </w:t>
      </w:r>
    </w:p>
    <w:p w14:paraId="563538C3" w14:textId="76D33A9F" w:rsidR="00ED7F50" w:rsidRPr="009F79B5" w:rsidRDefault="00ED7F50" w:rsidP="00ED7F50">
      <w:pPr>
        <w:rPr>
          <w:rFonts w:eastAsia="Times New Roman" w:cstheme="minorHAnsi"/>
          <w:sz w:val="20"/>
          <w:szCs w:val="20"/>
        </w:rPr>
      </w:pPr>
      <w:r w:rsidRPr="00ED7F50">
        <w:rPr>
          <w:rFonts w:eastAsia="Times New Roman" w:cstheme="minorHAnsi"/>
          <w:sz w:val="20"/>
          <w:szCs w:val="20"/>
        </w:rPr>
        <w:t>The ASSC is disappointed with the changes announced by the UK Chancellor as we believe that FHLs should continue to enjoy the same tax treatment as any other business. The ASSC and its industry partners consider that the impact of this policy reversal will result in fewer entering self-catering, with FHL properties being sold and probably ending up as second homes, exacerbating housing challenges in communities while providing minimal contribution to the economy.</w:t>
      </w:r>
    </w:p>
    <w:p w14:paraId="21CFF0FE" w14:textId="1DDD534D" w:rsidR="00F12F78" w:rsidRPr="009F79B5" w:rsidRDefault="00935E57" w:rsidP="00F12F78">
      <w:pPr>
        <w:pStyle w:val="NormalWeb"/>
        <w:rPr>
          <w:rFonts w:asciiTheme="minorHAnsi" w:hAnsiTheme="minorHAnsi" w:cstheme="minorHAnsi"/>
          <w:sz w:val="20"/>
          <w:szCs w:val="20"/>
        </w:rPr>
      </w:pPr>
      <w:r w:rsidRPr="009F79B5">
        <w:rPr>
          <w:rFonts w:asciiTheme="minorHAnsi" w:hAnsiTheme="minorHAnsi" w:cstheme="minorHAnsi"/>
          <w:sz w:val="20"/>
          <w:szCs w:val="20"/>
        </w:rPr>
        <w:t xml:space="preserve">Many small businesses, including farmers who </w:t>
      </w:r>
      <w:r w:rsidR="00BE1014" w:rsidRPr="009F79B5">
        <w:rPr>
          <w:rFonts w:asciiTheme="minorHAnsi" w:hAnsiTheme="minorHAnsi" w:cstheme="minorHAnsi"/>
          <w:sz w:val="20"/>
          <w:szCs w:val="20"/>
        </w:rPr>
        <w:t xml:space="preserve">have been </w:t>
      </w:r>
      <w:r w:rsidRPr="009F79B5">
        <w:rPr>
          <w:rFonts w:asciiTheme="minorHAnsi" w:hAnsiTheme="minorHAnsi" w:cstheme="minorHAnsi"/>
          <w:sz w:val="20"/>
          <w:szCs w:val="20"/>
        </w:rPr>
        <w:t xml:space="preserve">encouraged to diversify into tourism, now face being taxed on more than their net profit. </w:t>
      </w:r>
      <w:r w:rsidR="00F12F78" w:rsidRPr="00F12F78">
        <w:rPr>
          <w:rFonts w:asciiTheme="minorHAnsi" w:hAnsiTheme="minorHAnsi" w:cstheme="minorHAnsi"/>
          <w:sz w:val="20"/>
          <w:szCs w:val="20"/>
        </w:rPr>
        <w:t xml:space="preserve">In addition, we consider that ongoing investment for existing businesses will be hit, with possible loss of quality. </w:t>
      </w:r>
      <w:r w:rsidR="00F12F78" w:rsidRPr="009F79B5">
        <w:rPr>
          <w:rFonts w:asciiTheme="minorHAnsi" w:hAnsiTheme="minorHAnsi" w:cstheme="minorHAnsi"/>
          <w:sz w:val="20"/>
          <w:szCs w:val="20"/>
        </w:rPr>
        <w:t xml:space="preserve">It will dissuade property owners from investing in their properties, engaging local tradespeople and could ultimately see owners look to reduce costs by reducing staff. </w:t>
      </w:r>
    </w:p>
    <w:p w14:paraId="7D8220A8" w14:textId="2869E29E" w:rsidR="00F12F78" w:rsidRPr="00F12F78" w:rsidRDefault="00F12F78" w:rsidP="00F12F78">
      <w:pPr>
        <w:spacing w:before="100" w:beforeAutospacing="1" w:after="100" w:afterAutospacing="1"/>
        <w:rPr>
          <w:rFonts w:eastAsia="Times New Roman" w:cstheme="minorHAnsi"/>
          <w:sz w:val="20"/>
          <w:szCs w:val="20"/>
        </w:rPr>
      </w:pPr>
      <w:r w:rsidRPr="00F12F78">
        <w:rPr>
          <w:rFonts w:eastAsia="Times New Roman" w:cstheme="minorHAnsi"/>
          <w:sz w:val="20"/>
          <w:szCs w:val="20"/>
        </w:rPr>
        <w:t>Self-catering is a marginal profit activity, and these rules will see already small profits decline. This effect will be felt most in areas of fragile economy, negatively impacting our island, rural and remote communities.</w:t>
      </w:r>
    </w:p>
    <w:p w14:paraId="05101E5E" w14:textId="01279D1F" w:rsidR="00F12F78" w:rsidRPr="009F79B5" w:rsidRDefault="00F12F78" w:rsidP="00F12F78">
      <w:pPr>
        <w:spacing w:before="100" w:beforeAutospacing="1" w:after="100" w:afterAutospacing="1"/>
        <w:rPr>
          <w:rFonts w:eastAsia="Times New Roman" w:cstheme="minorHAnsi"/>
          <w:sz w:val="20"/>
          <w:szCs w:val="20"/>
        </w:rPr>
      </w:pPr>
      <w:r w:rsidRPr="00F12F78">
        <w:rPr>
          <w:rFonts w:eastAsia="Times New Roman" w:cstheme="minorHAnsi"/>
          <w:sz w:val="20"/>
          <w:szCs w:val="20"/>
        </w:rPr>
        <w:t>This policy, in conjunction with short-term let licensing and planning control areas introduced by the Scottish Government represents yet another threat to the sector and may be the last straw for many.</w:t>
      </w:r>
    </w:p>
    <w:p w14:paraId="6CF9072D" w14:textId="02B1F248" w:rsidR="001F00CD" w:rsidRPr="009F79B5" w:rsidRDefault="001F00CD" w:rsidP="001F00CD">
      <w:pPr>
        <w:pStyle w:val="NormalWeb"/>
        <w:rPr>
          <w:rFonts w:asciiTheme="minorHAnsi" w:hAnsiTheme="minorHAnsi" w:cstheme="minorHAnsi"/>
          <w:sz w:val="20"/>
          <w:szCs w:val="20"/>
        </w:rPr>
      </w:pPr>
      <w:r w:rsidRPr="009F79B5">
        <w:rPr>
          <w:rFonts w:asciiTheme="minorHAnsi" w:hAnsiTheme="minorHAnsi" w:cstheme="minorHAnsi"/>
          <w:b/>
          <w:bCs/>
          <w:sz w:val="20"/>
          <w:szCs w:val="20"/>
        </w:rPr>
        <w:t>FHLs are not the cause of the housing crisis nor are they the solution to it</w:t>
      </w:r>
    </w:p>
    <w:p w14:paraId="58BE1749" w14:textId="63487021" w:rsidR="00935E57" w:rsidRPr="009F79B5" w:rsidRDefault="00935E57" w:rsidP="00935E57">
      <w:pPr>
        <w:pStyle w:val="NormalWeb"/>
        <w:rPr>
          <w:rFonts w:asciiTheme="minorHAnsi" w:hAnsiTheme="minorHAnsi" w:cstheme="minorHAnsi"/>
          <w:sz w:val="20"/>
          <w:szCs w:val="20"/>
        </w:rPr>
      </w:pPr>
      <w:r w:rsidRPr="009F79B5">
        <w:rPr>
          <w:rFonts w:asciiTheme="minorHAnsi" w:hAnsiTheme="minorHAnsi" w:cstheme="minorHAnsi"/>
          <w:sz w:val="20"/>
          <w:szCs w:val="20"/>
        </w:rPr>
        <w:t xml:space="preserve">We understand concerns in relation to the housing market generally and the availability of affordable homes in local areas specifically. However, </w:t>
      </w:r>
      <w:hyperlink r:id="rId9" w:history="1">
        <w:r w:rsidR="005D443A" w:rsidRPr="009F79B5">
          <w:rPr>
            <w:rStyle w:val="Hyperlink"/>
            <w:rFonts w:asciiTheme="minorHAnsi" w:hAnsiTheme="minorHAnsi" w:cstheme="minorHAnsi"/>
            <w:sz w:val="20"/>
            <w:szCs w:val="20"/>
          </w:rPr>
          <w:t xml:space="preserve">the </w:t>
        </w:r>
        <w:r w:rsidR="006A5003" w:rsidRPr="009F79B5">
          <w:rPr>
            <w:rStyle w:val="Hyperlink"/>
            <w:rFonts w:asciiTheme="minorHAnsi" w:hAnsiTheme="minorHAnsi" w:cstheme="minorHAnsi"/>
            <w:sz w:val="20"/>
            <w:szCs w:val="20"/>
          </w:rPr>
          <w:t xml:space="preserve">traditional </w:t>
        </w:r>
        <w:r w:rsidR="005D443A" w:rsidRPr="009F79B5">
          <w:rPr>
            <w:rStyle w:val="Hyperlink"/>
            <w:rFonts w:asciiTheme="minorHAnsi" w:hAnsiTheme="minorHAnsi" w:cstheme="minorHAnsi"/>
            <w:sz w:val="20"/>
            <w:szCs w:val="20"/>
          </w:rPr>
          <w:t xml:space="preserve">self-catering sector </w:t>
        </w:r>
        <w:r w:rsidR="006A5003" w:rsidRPr="009F79B5">
          <w:rPr>
            <w:rStyle w:val="Hyperlink"/>
            <w:rFonts w:asciiTheme="minorHAnsi" w:hAnsiTheme="minorHAnsi" w:cstheme="minorHAnsi"/>
            <w:sz w:val="20"/>
            <w:szCs w:val="20"/>
          </w:rPr>
          <w:t>is not, and has never been,</w:t>
        </w:r>
        <w:r w:rsidRPr="009F79B5">
          <w:rPr>
            <w:rStyle w:val="Hyperlink"/>
            <w:rFonts w:asciiTheme="minorHAnsi" w:hAnsiTheme="minorHAnsi" w:cstheme="minorHAnsi"/>
            <w:sz w:val="20"/>
            <w:szCs w:val="20"/>
          </w:rPr>
          <w:t xml:space="preserve"> a contributor to </w:t>
        </w:r>
        <w:r w:rsidR="006A5003" w:rsidRPr="009F79B5">
          <w:rPr>
            <w:rStyle w:val="Hyperlink"/>
            <w:rFonts w:asciiTheme="minorHAnsi" w:hAnsiTheme="minorHAnsi" w:cstheme="minorHAnsi"/>
            <w:sz w:val="20"/>
            <w:szCs w:val="20"/>
          </w:rPr>
          <w:t>the housing crisis</w:t>
        </w:r>
      </w:hyperlink>
      <w:r w:rsidRPr="009F79B5">
        <w:rPr>
          <w:rFonts w:asciiTheme="minorHAnsi" w:hAnsiTheme="minorHAnsi" w:cstheme="minorHAnsi"/>
          <w:sz w:val="20"/>
          <w:szCs w:val="20"/>
        </w:rPr>
        <w:t xml:space="preserve">: </w:t>
      </w:r>
    </w:p>
    <w:p w14:paraId="0F901F84" w14:textId="5DDEE372" w:rsidR="00935E57" w:rsidRPr="009F79B5" w:rsidRDefault="00935E57" w:rsidP="00935E57">
      <w:pPr>
        <w:pStyle w:val="NormalWeb"/>
        <w:numPr>
          <w:ilvl w:val="0"/>
          <w:numId w:val="1"/>
        </w:numPr>
        <w:rPr>
          <w:rFonts w:asciiTheme="minorHAnsi" w:hAnsiTheme="minorHAnsi" w:cstheme="minorHAnsi"/>
          <w:sz w:val="20"/>
          <w:szCs w:val="20"/>
        </w:rPr>
      </w:pPr>
      <w:r w:rsidRPr="009F79B5">
        <w:rPr>
          <w:rFonts w:asciiTheme="minorHAnsi" w:hAnsiTheme="minorHAnsi" w:cstheme="minorHAnsi"/>
          <w:sz w:val="20"/>
          <w:szCs w:val="20"/>
        </w:rPr>
        <w:t xml:space="preserve">the number of </w:t>
      </w:r>
      <w:r w:rsidR="006A5003" w:rsidRPr="009F79B5">
        <w:rPr>
          <w:rFonts w:asciiTheme="minorHAnsi" w:hAnsiTheme="minorHAnsi" w:cstheme="minorHAnsi"/>
          <w:sz w:val="20"/>
          <w:szCs w:val="20"/>
        </w:rPr>
        <w:t>self-catering units</w:t>
      </w:r>
      <w:r w:rsidRPr="009F79B5">
        <w:rPr>
          <w:rFonts w:asciiTheme="minorHAnsi" w:hAnsiTheme="minorHAnsi" w:cstheme="minorHAnsi"/>
          <w:sz w:val="20"/>
          <w:szCs w:val="20"/>
        </w:rPr>
        <w:t xml:space="preserve"> that would be suitable for primary residences is significantly lower than </w:t>
      </w:r>
      <w:r w:rsidR="006A5003" w:rsidRPr="009F79B5">
        <w:rPr>
          <w:rFonts w:asciiTheme="minorHAnsi" w:hAnsiTheme="minorHAnsi" w:cstheme="minorHAnsi"/>
          <w:sz w:val="20"/>
          <w:szCs w:val="20"/>
        </w:rPr>
        <w:t>suggested, far less as</w:t>
      </w:r>
      <w:r w:rsidR="001E00C5" w:rsidRPr="009F79B5">
        <w:rPr>
          <w:rFonts w:asciiTheme="minorHAnsi" w:hAnsiTheme="minorHAnsi" w:cstheme="minorHAnsi"/>
          <w:sz w:val="20"/>
          <w:szCs w:val="20"/>
        </w:rPr>
        <w:t xml:space="preserve"> to be considered</w:t>
      </w:r>
      <w:r w:rsidR="006A5003" w:rsidRPr="009F79B5">
        <w:rPr>
          <w:rFonts w:asciiTheme="minorHAnsi" w:hAnsiTheme="minorHAnsi" w:cstheme="minorHAnsi"/>
          <w:sz w:val="20"/>
          <w:szCs w:val="20"/>
        </w:rPr>
        <w:t xml:space="preserve"> affordable</w:t>
      </w:r>
      <w:r w:rsidRPr="009F79B5">
        <w:rPr>
          <w:rFonts w:asciiTheme="minorHAnsi" w:hAnsiTheme="minorHAnsi" w:cstheme="minorHAnsi"/>
          <w:sz w:val="20"/>
          <w:szCs w:val="20"/>
        </w:rPr>
        <w:t xml:space="preserve">; </w:t>
      </w:r>
    </w:p>
    <w:p w14:paraId="5329B463" w14:textId="5D838765" w:rsidR="009F79B5" w:rsidRPr="009F79B5" w:rsidRDefault="00935E57" w:rsidP="00DE5810">
      <w:pPr>
        <w:pStyle w:val="NormalWeb"/>
        <w:numPr>
          <w:ilvl w:val="0"/>
          <w:numId w:val="1"/>
        </w:numPr>
        <w:rPr>
          <w:rFonts w:asciiTheme="minorHAnsi" w:hAnsiTheme="minorHAnsi" w:cstheme="minorHAnsi"/>
          <w:sz w:val="20"/>
          <w:szCs w:val="20"/>
        </w:rPr>
      </w:pPr>
      <w:r w:rsidRPr="009F79B5">
        <w:rPr>
          <w:rFonts w:asciiTheme="minorHAnsi" w:hAnsiTheme="minorHAnsi" w:cstheme="minorHAnsi"/>
          <w:sz w:val="20"/>
          <w:szCs w:val="20"/>
        </w:rPr>
        <w:t xml:space="preserve">there needs to be a clear </w:t>
      </w:r>
      <w:hyperlink r:id="rId10" w:history="1">
        <w:r w:rsidRPr="009F79B5">
          <w:rPr>
            <w:rStyle w:val="Hyperlink"/>
            <w:rFonts w:asciiTheme="minorHAnsi" w:hAnsiTheme="minorHAnsi" w:cstheme="minorHAnsi"/>
            <w:sz w:val="20"/>
            <w:szCs w:val="20"/>
          </w:rPr>
          <w:t>distinction drawn between the effect of empty</w:t>
        </w:r>
        <w:r w:rsidR="001E00C5" w:rsidRPr="009F79B5">
          <w:rPr>
            <w:rStyle w:val="Hyperlink"/>
            <w:rFonts w:asciiTheme="minorHAnsi" w:hAnsiTheme="minorHAnsi" w:cstheme="minorHAnsi"/>
            <w:sz w:val="20"/>
            <w:szCs w:val="20"/>
          </w:rPr>
          <w:t xml:space="preserve"> homes,</w:t>
        </w:r>
        <w:r w:rsidRPr="009F79B5">
          <w:rPr>
            <w:rStyle w:val="Hyperlink"/>
            <w:rFonts w:asciiTheme="minorHAnsi" w:hAnsiTheme="minorHAnsi" w:cstheme="minorHAnsi"/>
            <w:sz w:val="20"/>
            <w:szCs w:val="20"/>
          </w:rPr>
          <w:t xml:space="preserve"> second homes and </w:t>
        </w:r>
        <w:r w:rsidR="001E00C5" w:rsidRPr="009F79B5">
          <w:rPr>
            <w:rStyle w:val="Hyperlink"/>
            <w:rFonts w:asciiTheme="minorHAnsi" w:hAnsiTheme="minorHAnsi" w:cstheme="minorHAnsi"/>
            <w:sz w:val="20"/>
            <w:szCs w:val="20"/>
          </w:rPr>
          <w:t>self-catering units</w:t>
        </w:r>
      </w:hyperlink>
      <w:r w:rsidR="001E00C5" w:rsidRPr="009F79B5">
        <w:rPr>
          <w:rFonts w:asciiTheme="minorHAnsi" w:hAnsiTheme="minorHAnsi" w:cstheme="minorHAnsi"/>
          <w:sz w:val="20"/>
          <w:szCs w:val="20"/>
        </w:rPr>
        <w:t>, which</w:t>
      </w:r>
      <w:r w:rsidRPr="009F79B5">
        <w:rPr>
          <w:rFonts w:asciiTheme="minorHAnsi" w:hAnsiTheme="minorHAnsi" w:cstheme="minorHAnsi"/>
          <w:sz w:val="20"/>
          <w:szCs w:val="20"/>
        </w:rPr>
        <w:t xml:space="preserve"> provid</w:t>
      </w:r>
      <w:r w:rsidR="001E00C5" w:rsidRPr="009F79B5">
        <w:rPr>
          <w:rFonts w:asciiTheme="minorHAnsi" w:hAnsiTheme="minorHAnsi" w:cstheme="minorHAnsi"/>
          <w:sz w:val="20"/>
          <w:szCs w:val="20"/>
        </w:rPr>
        <w:t>e</w:t>
      </w:r>
      <w:r w:rsidRPr="009F79B5">
        <w:rPr>
          <w:rFonts w:asciiTheme="minorHAnsi" w:hAnsiTheme="minorHAnsi" w:cstheme="minorHAnsi"/>
          <w:sz w:val="20"/>
          <w:szCs w:val="20"/>
        </w:rPr>
        <w:t xml:space="preserve"> significant value to local economies. </w:t>
      </w:r>
    </w:p>
    <w:p w14:paraId="5AC16694" w14:textId="4ED16C04" w:rsidR="00935E57" w:rsidRPr="009F79B5" w:rsidRDefault="00935E57" w:rsidP="00DE5810">
      <w:pPr>
        <w:pStyle w:val="NormalWeb"/>
        <w:rPr>
          <w:rFonts w:asciiTheme="minorHAnsi" w:hAnsiTheme="minorHAnsi" w:cstheme="minorHAnsi"/>
          <w:b/>
          <w:bCs/>
          <w:sz w:val="20"/>
          <w:szCs w:val="20"/>
        </w:rPr>
      </w:pPr>
      <w:r w:rsidRPr="009F79B5">
        <w:rPr>
          <w:rFonts w:asciiTheme="minorHAnsi" w:hAnsiTheme="minorHAnsi" w:cstheme="minorHAnsi"/>
          <w:b/>
          <w:bCs/>
          <w:sz w:val="20"/>
          <w:szCs w:val="20"/>
        </w:rPr>
        <w:t xml:space="preserve">Traditional, responsible </w:t>
      </w:r>
      <w:r w:rsidR="00847446" w:rsidRPr="009F79B5">
        <w:rPr>
          <w:rFonts w:asciiTheme="minorHAnsi" w:hAnsiTheme="minorHAnsi" w:cstheme="minorHAnsi"/>
          <w:b/>
          <w:bCs/>
          <w:sz w:val="20"/>
          <w:szCs w:val="20"/>
        </w:rPr>
        <w:t xml:space="preserve">self-catering units, or </w:t>
      </w:r>
      <w:r w:rsidRPr="009F79B5">
        <w:rPr>
          <w:rFonts w:asciiTheme="minorHAnsi" w:hAnsiTheme="minorHAnsi" w:cstheme="minorHAnsi"/>
          <w:b/>
          <w:bCs/>
          <w:sz w:val="20"/>
          <w:szCs w:val="20"/>
        </w:rPr>
        <w:t>short</w:t>
      </w:r>
      <w:r w:rsidR="006A5003" w:rsidRPr="009F79B5">
        <w:rPr>
          <w:rFonts w:asciiTheme="minorHAnsi" w:hAnsiTheme="minorHAnsi" w:cstheme="minorHAnsi"/>
          <w:b/>
          <w:bCs/>
          <w:sz w:val="20"/>
          <w:szCs w:val="20"/>
        </w:rPr>
        <w:t>-</w:t>
      </w:r>
      <w:r w:rsidRPr="009F79B5">
        <w:rPr>
          <w:rFonts w:asciiTheme="minorHAnsi" w:hAnsiTheme="minorHAnsi" w:cstheme="minorHAnsi"/>
          <w:b/>
          <w:bCs/>
          <w:sz w:val="20"/>
          <w:szCs w:val="20"/>
        </w:rPr>
        <w:t>term lets</w:t>
      </w:r>
      <w:r w:rsidR="00847446" w:rsidRPr="009F79B5">
        <w:rPr>
          <w:rFonts w:asciiTheme="minorHAnsi" w:hAnsiTheme="minorHAnsi" w:cstheme="minorHAnsi"/>
          <w:b/>
          <w:bCs/>
          <w:sz w:val="20"/>
          <w:szCs w:val="20"/>
        </w:rPr>
        <w:t xml:space="preserve"> (STLs),</w:t>
      </w:r>
      <w:r w:rsidRPr="009F79B5">
        <w:rPr>
          <w:rFonts w:asciiTheme="minorHAnsi" w:hAnsiTheme="minorHAnsi" w:cstheme="minorHAnsi"/>
          <w:b/>
          <w:bCs/>
          <w:sz w:val="20"/>
          <w:szCs w:val="20"/>
        </w:rPr>
        <w:t xml:space="preserve"> support communities</w:t>
      </w:r>
    </w:p>
    <w:p w14:paraId="507C0F5D" w14:textId="71733FFE" w:rsidR="003B5BE4" w:rsidRPr="009F79B5" w:rsidRDefault="003B5BE4" w:rsidP="003B5BE4">
      <w:pPr>
        <w:rPr>
          <w:rFonts w:cstheme="minorHAnsi"/>
          <w:bCs/>
          <w:sz w:val="20"/>
          <w:szCs w:val="20"/>
        </w:rPr>
      </w:pPr>
      <w:r w:rsidRPr="009F79B5">
        <w:rPr>
          <w:rFonts w:cstheme="minorHAnsi"/>
          <w:bCs/>
          <w:sz w:val="20"/>
          <w:szCs w:val="20"/>
        </w:rPr>
        <w:t xml:space="preserve">‘Short-term lets’ are often presented as being a leading cause of Scotland’s housing crisis. However, it is important to place the debate in a holistic context – for instance, noting the number of empty homes in Scotland, demographic changes, and the need to build more homes – while recognising the value of tourist accommodation to the Scottish economy and local communities. </w:t>
      </w:r>
    </w:p>
    <w:p w14:paraId="6D6ADAF9" w14:textId="77777777" w:rsidR="003B5BE4" w:rsidRPr="009F79B5" w:rsidRDefault="003B5BE4" w:rsidP="003B5BE4">
      <w:pPr>
        <w:rPr>
          <w:rFonts w:cstheme="minorHAnsi"/>
          <w:b/>
          <w:sz w:val="20"/>
          <w:szCs w:val="20"/>
        </w:rPr>
      </w:pPr>
    </w:p>
    <w:p w14:paraId="779F178E" w14:textId="77777777" w:rsidR="00FC682C" w:rsidRPr="009F79B5" w:rsidRDefault="00FC682C" w:rsidP="00FC682C">
      <w:pPr>
        <w:pStyle w:val="ListParagraph"/>
        <w:numPr>
          <w:ilvl w:val="0"/>
          <w:numId w:val="4"/>
        </w:numPr>
        <w:rPr>
          <w:rFonts w:eastAsia="Times New Roman" w:cstheme="minorHAnsi"/>
          <w:iCs/>
          <w:color w:val="000000"/>
          <w:sz w:val="20"/>
          <w:szCs w:val="20"/>
        </w:rPr>
      </w:pPr>
      <w:r w:rsidRPr="009F79B5">
        <w:rPr>
          <w:rFonts w:eastAsia="Times New Roman" w:cstheme="minorHAnsi"/>
          <w:iCs/>
          <w:color w:val="000000"/>
          <w:sz w:val="20"/>
          <w:szCs w:val="20"/>
        </w:rPr>
        <w:t>The housing challenges facing Scotland are far more multifaceted than the existence and growth of short-term and holiday lets alone. For instance:</w:t>
      </w:r>
    </w:p>
    <w:p w14:paraId="2D579740" w14:textId="59F3E512" w:rsidR="00FC682C" w:rsidRPr="009F79B5" w:rsidRDefault="00FC682C" w:rsidP="00FC682C">
      <w:pPr>
        <w:pStyle w:val="ListParagraph"/>
        <w:numPr>
          <w:ilvl w:val="0"/>
          <w:numId w:val="4"/>
        </w:numPr>
        <w:rPr>
          <w:rFonts w:cstheme="minorHAnsi"/>
          <w:sz w:val="20"/>
          <w:szCs w:val="20"/>
        </w:rPr>
      </w:pPr>
      <w:r w:rsidRPr="009F79B5">
        <w:rPr>
          <w:rFonts w:cstheme="minorHAnsi"/>
          <w:sz w:val="20"/>
          <w:szCs w:val="20"/>
        </w:rPr>
        <w:t xml:space="preserve">There were </w:t>
      </w:r>
      <w:hyperlink r:id="rId11" w:history="1">
        <w:r w:rsidRPr="009F79B5">
          <w:rPr>
            <w:rStyle w:val="Hyperlink"/>
            <w:rFonts w:cstheme="minorHAnsi"/>
            <w:sz w:val="20"/>
            <w:szCs w:val="20"/>
          </w:rPr>
          <w:t>2.7m dwellings in Scotland in 2022</w:t>
        </w:r>
      </w:hyperlink>
      <w:r w:rsidRPr="009F79B5">
        <w:rPr>
          <w:rFonts w:cstheme="minorHAnsi"/>
          <w:sz w:val="20"/>
          <w:szCs w:val="20"/>
        </w:rPr>
        <w:t xml:space="preserve">. Of these 2.7m dwellings, 115,000 (4.3%) were unoccupied. These unoccupied dwellings included: </w:t>
      </w:r>
    </w:p>
    <w:p w14:paraId="1452450C" w14:textId="77777777" w:rsidR="00FC682C" w:rsidRPr="009F79B5" w:rsidRDefault="00FC682C" w:rsidP="00FC682C">
      <w:pPr>
        <w:pStyle w:val="NormalWeb"/>
        <w:numPr>
          <w:ilvl w:val="1"/>
          <w:numId w:val="4"/>
        </w:numPr>
        <w:rPr>
          <w:rFonts w:asciiTheme="minorHAnsi" w:hAnsiTheme="minorHAnsi" w:cstheme="minorHAnsi"/>
          <w:sz w:val="20"/>
          <w:szCs w:val="20"/>
        </w:rPr>
      </w:pPr>
      <w:r w:rsidRPr="009F79B5">
        <w:rPr>
          <w:rFonts w:asciiTheme="minorHAnsi" w:hAnsiTheme="minorHAnsi" w:cstheme="minorHAnsi"/>
          <w:sz w:val="20"/>
          <w:szCs w:val="20"/>
        </w:rPr>
        <w:t>vacant properties (90,700, 3.4% of all dwellings)</w:t>
      </w:r>
      <w:r w:rsidRPr="009F79B5">
        <w:rPr>
          <w:rStyle w:val="FootnoteReference"/>
          <w:rFonts w:asciiTheme="minorHAnsi" w:hAnsiTheme="minorHAnsi" w:cstheme="minorHAnsi"/>
          <w:sz w:val="20"/>
          <w:szCs w:val="20"/>
        </w:rPr>
        <w:footnoteReference w:id="1"/>
      </w:r>
      <w:r w:rsidRPr="009F79B5">
        <w:rPr>
          <w:rFonts w:asciiTheme="minorHAnsi" w:hAnsiTheme="minorHAnsi" w:cstheme="minorHAnsi"/>
          <w:sz w:val="20"/>
          <w:szCs w:val="20"/>
        </w:rPr>
        <w:t xml:space="preserve"> </w:t>
      </w:r>
    </w:p>
    <w:p w14:paraId="2A377DC6" w14:textId="44B47DD7" w:rsidR="00FC682C" w:rsidRPr="009F79B5" w:rsidRDefault="00FC682C" w:rsidP="00E546A5">
      <w:pPr>
        <w:pStyle w:val="NormalWeb"/>
        <w:numPr>
          <w:ilvl w:val="1"/>
          <w:numId w:val="4"/>
        </w:numPr>
        <w:rPr>
          <w:rFonts w:asciiTheme="minorHAnsi" w:hAnsiTheme="minorHAnsi" w:cstheme="minorHAnsi"/>
          <w:sz w:val="20"/>
          <w:szCs w:val="20"/>
        </w:rPr>
      </w:pPr>
      <w:r w:rsidRPr="009F79B5">
        <w:rPr>
          <w:rFonts w:asciiTheme="minorHAnsi" w:hAnsiTheme="minorHAnsi" w:cstheme="minorHAnsi"/>
          <w:sz w:val="20"/>
          <w:szCs w:val="20"/>
        </w:rPr>
        <w:t>second homes (24,300, 0.9% of all dwellings).</w:t>
      </w:r>
      <w:r w:rsidR="00E546A5" w:rsidRPr="009F79B5">
        <w:rPr>
          <w:rFonts w:asciiTheme="minorHAnsi" w:hAnsiTheme="minorHAnsi" w:cstheme="minorHAnsi"/>
          <w:sz w:val="20"/>
          <w:szCs w:val="20"/>
        </w:rPr>
        <w:t xml:space="preserve"> </w:t>
      </w:r>
      <w:r w:rsidRPr="009F79B5">
        <w:rPr>
          <w:rFonts w:asciiTheme="minorHAnsi" w:hAnsiTheme="minorHAnsi" w:cstheme="minorHAnsi"/>
          <w:sz w:val="20"/>
          <w:szCs w:val="20"/>
        </w:rPr>
        <w:t>There are just 127,000 homes which qualify under the Furnished Holiday Let regime in the UK. That should be seen within the context with the 29 million</w:t>
      </w:r>
      <w:r w:rsidRPr="009F79B5">
        <w:rPr>
          <w:rFonts w:asciiTheme="minorHAnsi" w:hAnsiTheme="minorHAnsi" w:cstheme="minorHAnsi"/>
          <w:position w:val="8"/>
          <w:sz w:val="20"/>
          <w:szCs w:val="20"/>
        </w:rPr>
        <w:t xml:space="preserve"> </w:t>
      </w:r>
      <w:r w:rsidRPr="009F79B5">
        <w:rPr>
          <w:rFonts w:asciiTheme="minorHAnsi" w:hAnsiTheme="minorHAnsi" w:cstheme="minorHAnsi"/>
          <w:sz w:val="20"/>
          <w:szCs w:val="20"/>
        </w:rPr>
        <w:t xml:space="preserve">dwellings across </w:t>
      </w:r>
      <w:hyperlink r:id="rId12" w:history="1">
        <w:r w:rsidRPr="009F79B5">
          <w:rPr>
            <w:rStyle w:val="Hyperlink"/>
            <w:rFonts w:asciiTheme="minorHAnsi" w:hAnsiTheme="minorHAnsi" w:cstheme="minorHAnsi"/>
            <w:sz w:val="20"/>
            <w:szCs w:val="20"/>
          </w:rPr>
          <w:t>England and Wales</w:t>
        </w:r>
      </w:hyperlink>
      <w:r w:rsidRPr="009F79B5">
        <w:rPr>
          <w:rFonts w:asciiTheme="minorHAnsi" w:hAnsiTheme="minorHAnsi" w:cstheme="minorHAnsi"/>
          <w:sz w:val="20"/>
          <w:szCs w:val="20"/>
        </w:rPr>
        <w:t xml:space="preserve"> and </w:t>
      </w:r>
      <w:hyperlink r:id="rId13" w:history="1">
        <w:r w:rsidRPr="009F79B5">
          <w:rPr>
            <w:rStyle w:val="Hyperlink"/>
            <w:rFonts w:asciiTheme="minorHAnsi" w:hAnsiTheme="minorHAnsi" w:cstheme="minorHAnsi"/>
            <w:sz w:val="20"/>
            <w:szCs w:val="20"/>
          </w:rPr>
          <w:t>Scotland</w:t>
        </w:r>
      </w:hyperlink>
      <w:r w:rsidRPr="009F79B5">
        <w:rPr>
          <w:rFonts w:asciiTheme="minorHAnsi" w:hAnsiTheme="minorHAnsi" w:cstheme="minorHAnsi"/>
          <w:sz w:val="20"/>
          <w:szCs w:val="20"/>
        </w:rPr>
        <w:t xml:space="preserve">, with a further and the 1.5m empty homes in the UK. </w:t>
      </w:r>
    </w:p>
    <w:p w14:paraId="21B394D3" w14:textId="2D911BEA" w:rsidR="00935E57" w:rsidRPr="009F79B5" w:rsidRDefault="00935E57" w:rsidP="00935E57">
      <w:pPr>
        <w:pStyle w:val="NormalWeb"/>
        <w:rPr>
          <w:rFonts w:asciiTheme="minorHAnsi" w:hAnsiTheme="minorHAnsi" w:cstheme="minorHAnsi"/>
          <w:sz w:val="20"/>
          <w:szCs w:val="20"/>
        </w:rPr>
      </w:pPr>
      <w:r w:rsidRPr="009F79B5">
        <w:rPr>
          <w:rFonts w:asciiTheme="minorHAnsi" w:hAnsiTheme="minorHAnsi" w:cstheme="minorHAnsi"/>
          <w:sz w:val="20"/>
          <w:szCs w:val="20"/>
        </w:rPr>
        <w:t>Our concerns are also shared by those in the Private Rental Sector and the farming community. The National Residential Landlord Association have said “</w:t>
      </w:r>
      <w:hyperlink r:id="rId14" w:history="1">
        <w:r w:rsidRPr="009F79B5">
          <w:rPr>
            <w:rStyle w:val="Hyperlink"/>
            <w:rFonts w:asciiTheme="minorHAnsi" w:hAnsiTheme="minorHAnsi" w:cstheme="minorHAnsi"/>
            <w:sz w:val="20"/>
            <w:szCs w:val="20"/>
          </w:rPr>
          <w:t>Squeezing holiday lets is not the answer</w:t>
        </w:r>
      </w:hyperlink>
      <w:r w:rsidRPr="009F79B5">
        <w:rPr>
          <w:rFonts w:asciiTheme="minorHAnsi" w:hAnsiTheme="minorHAnsi" w:cstheme="minorHAnsi"/>
          <w:sz w:val="20"/>
          <w:szCs w:val="20"/>
        </w:rPr>
        <w:t>”. Similarly the NFU have said “</w:t>
      </w:r>
      <w:hyperlink r:id="rId15" w:history="1">
        <w:r w:rsidRPr="009F79B5">
          <w:rPr>
            <w:rStyle w:val="Hyperlink"/>
            <w:rFonts w:asciiTheme="minorHAnsi" w:hAnsiTheme="minorHAnsi" w:cstheme="minorHAnsi"/>
            <w:sz w:val="20"/>
            <w:szCs w:val="20"/>
          </w:rPr>
          <w:t>The announcement on the abolition of the Furnished Housing Letting regime is a significant concern as it’s an important source of diversification for farm businesses which underpins resilience</w:t>
        </w:r>
      </w:hyperlink>
      <w:r w:rsidRPr="009F79B5">
        <w:rPr>
          <w:rFonts w:asciiTheme="minorHAnsi" w:hAnsiTheme="minorHAnsi" w:cstheme="minorHAnsi"/>
          <w:sz w:val="20"/>
          <w:szCs w:val="20"/>
        </w:rPr>
        <w:t xml:space="preserve">”. </w:t>
      </w:r>
    </w:p>
    <w:p w14:paraId="01613261" w14:textId="2C4B8FEE" w:rsidR="00935E57" w:rsidRPr="009F79B5" w:rsidRDefault="00935E57" w:rsidP="00935E57">
      <w:pPr>
        <w:pStyle w:val="NormalWeb"/>
        <w:rPr>
          <w:rFonts w:asciiTheme="minorHAnsi" w:hAnsiTheme="minorHAnsi" w:cstheme="minorHAnsi"/>
          <w:sz w:val="20"/>
          <w:szCs w:val="20"/>
        </w:rPr>
      </w:pPr>
      <w:r w:rsidRPr="009F79B5">
        <w:rPr>
          <w:rFonts w:asciiTheme="minorHAnsi" w:hAnsiTheme="minorHAnsi" w:cstheme="minorHAnsi"/>
          <w:b/>
          <w:bCs/>
          <w:sz w:val="20"/>
          <w:szCs w:val="20"/>
        </w:rPr>
        <w:t>Challenges faced from further policy interventions</w:t>
      </w:r>
    </w:p>
    <w:p w14:paraId="08D670E8" w14:textId="3772F2A4" w:rsidR="00935E57" w:rsidRPr="009F79B5" w:rsidRDefault="00935E57" w:rsidP="00935E57">
      <w:pPr>
        <w:pStyle w:val="NormalWeb"/>
        <w:rPr>
          <w:rFonts w:asciiTheme="minorHAnsi" w:hAnsiTheme="minorHAnsi" w:cstheme="minorHAnsi"/>
          <w:sz w:val="20"/>
          <w:szCs w:val="20"/>
        </w:rPr>
      </w:pPr>
      <w:r w:rsidRPr="009F79B5">
        <w:rPr>
          <w:rFonts w:asciiTheme="minorHAnsi" w:hAnsiTheme="minorHAnsi" w:cstheme="minorHAnsi"/>
          <w:sz w:val="20"/>
          <w:szCs w:val="20"/>
        </w:rPr>
        <w:t>The abolition of the FHL regime must been seen as part of a package of regulatory interventions aimed at the self-catering sector, including a proposed statutory registration scheme and new planning use class</w:t>
      </w:r>
      <w:r w:rsidR="003B5BE4" w:rsidRPr="009F79B5">
        <w:rPr>
          <w:rFonts w:asciiTheme="minorHAnsi" w:hAnsiTheme="minorHAnsi" w:cstheme="minorHAnsi"/>
          <w:sz w:val="20"/>
          <w:szCs w:val="20"/>
        </w:rPr>
        <w:t xml:space="preserve"> in England and Short-Term Let Licensing and Planning Control Areas in Scotland</w:t>
      </w:r>
      <w:r w:rsidRPr="009F79B5">
        <w:rPr>
          <w:rFonts w:asciiTheme="minorHAnsi" w:hAnsiTheme="minorHAnsi" w:cstheme="minorHAnsi"/>
          <w:sz w:val="20"/>
          <w:szCs w:val="20"/>
        </w:rPr>
        <w:t xml:space="preserve">. </w:t>
      </w:r>
    </w:p>
    <w:p w14:paraId="59A3FE17" w14:textId="43F8D2CE" w:rsidR="003B5BE4" w:rsidRPr="009F79B5" w:rsidRDefault="003B5BE4" w:rsidP="003B5BE4">
      <w:pPr>
        <w:pStyle w:val="NoSpacing"/>
        <w:rPr>
          <w:rFonts w:cstheme="minorHAnsi"/>
          <w:sz w:val="20"/>
          <w:szCs w:val="20"/>
        </w:rPr>
      </w:pPr>
      <w:r w:rsidRPr="009F79B5">
        <w:rPr>
          <w:rFonts w:cstheme="minorHAnsi"/>
          <w:sz w:val="20"/>
          <w:szCs w:val="20"/>
        </w:rPr>
        <w:t>Any regulations taken forward</w:t>
      </w:r>
      <w:r w:rsidRPr="009F79B5">
        <w:rPr>
          <w:rFonts w:cstheme="minorHAnsi"/>
          <w:sz w:val="20"/>
          <w:szCs w:val="20"/>
        </w:rPr>
        <w:t xml:space="preserve"> with regard to the self-catering sector</w:t>
      </w:r>
      <w:r w:rsidRPr="009F79B5">
        <w:rPr>
          <w:rFonts w:cstheme="minorHAnsi"/>
          <w:sz w:val="20"/>
          <w:szCs w:val="20"/>
        </w:rPr>
        <w:t xml:space="preserve">, either at a national or local level, need to be informed by robust empirical data. </w:t>
      </w:r>
    </w:p>
    <w:p w14:paraId="5AF19A30" w14:textId="77777777" w:rsidR="00935E57" w:rsidRPr="009F79B5" w:rsidRDefault="00935E57" w:rsidP="00935E57">
      <w:pPr>
        <w:pStyle w:val="NormalWeb"/>
        <w:rPr>
          <w:rFonts w:asciiTheme="minorHAnsi" w:hAnsiTheme="minorHAnsi" w:cstheme="minorHAnsi"/>
          <w:sz w:val="20"/>
          <w:szCs w:val="20"/>
        </w:rPr>
      </w:pPr>
      <w:r w:rsidRPr="009F79B5">
        <w:rPr>
          <w:rFonts w:asciiTheme="minorHAnsi" w:hAnsiTheme="minorHAnsi" w:cstheme="minorHAnsi"/>
          <w:b/>
          <w:bCs/>
          <w:sz w:val="20"/>
          <w:szCs w:val="20"/>
        </w:rPr>
        <w:t xml:space="preserve">Our ask </w:t>
      </w:r>
    </w:p>
    <w:p w14:paraId="01B50CE7" w14:textId="609786AD" w:rsidR="00935E57" w:rsidRPr="009F79B5" w:rsidRDefault="00935E57" w:rsidP="00935E57">
      <w:pPr>
        <w:pStyle w:val="NormalWeb"/>
        <w:rPr>
          <w:rFonts w:asciiTheme="minorHAnsi" w:hAnsiTheme="minorHAnsi" w:cstheme="minorHAnsi"/>
          <w:sz w:val="20"/>
          <w:szCs w:val="20"/>
        </w:rPr>
      </w:pPr>
      <w:r w:rsidRPr="009F79B5">
        <w:rPr>
          <w:rFonts w:asciiTheme="minorHAnsi" w:hAnsiTheme="minorHAnsi" w:cstheme="minorHAnsi"/>
          <w:sz w:val="20"/>
          <w:szCs w:val="20"/>
        </w:rPr>
        <w:t>We call on M</w:t>
      </w:r>
      <w:r w:rsidR="003B5BE4" w:rsidRPr="009F79B5">
        <w:rPr>
          <w:rFonts w:asciiTheme="minorHAnsi" w:hAnsiTheme="minorHAnsi" w:cstheme="minorHAnsi"/>
          <w:sz w:val="20"/>
          <w:szCs w:val="20"/>
        </w:rPr>
        <w:t>S</w:t>
      </w:r>
      <w:r w:rsidRPr="009F79B5">
        <w:rPr>
          <w:rFonts w:asciiTheme="minorHAnsi" w:hAnsiTheme="minorHAnsi" w:cstheme="minorHAnsi"/>
          <w:sz w:val="20"/>
          <w:szCs w:val="20"/>
        </w:rPr>
        <w:t>Ps</w:t>
      </w:r>
      <w:r w:rsidR="003B5BE4" w:rsidRPr="009F79B5">
        <w:rPr>
          <w:rFonts w:asciiTheme="minorHAnsi" w:hAnsiTheme="minorHAnsi" w:cstheme="minorHAnsi"/>
          <w:sz w:val="20"/>
          <w:szCs w:val="20"/>
        </w:rPr>
        <w:t xml:space="preserve"> and MPs</w:t>
      </w:r>
      <w:r w:rsidRPr="009F79B5">
        <w:rPr>
          <w:rFonts w:asciiTheme="minorHAnsi" w:hAnsiTheme="minorHAnsi" w:cstheme="minorHAnsi"/>
          <w:sz w:val="20"/>
          <w:szCs w:val="20"/>
        </w:rPr>
        <w:t xml:space="preserve"> to </w:t>
      </w:r>
      <w:r w:rsidR="003B5BE4" w:rsidRPr="009F79B5">
        <w:rPr>
          <w:rFonts w:asciiTheme="minorHAnsi" w:hAnsiTheme="minorHAnsi" w:cstheme="minorHAnsi"/>
          <w:sz w:val="20"/>
          <w:szCs w:val="20"/>
        </w:rPr>
        <w:t>support</w:t>
      </w:r>
      <w:r w:rsidRPr="009F79B5">
        <w:rPr>
          <w:rFonts w:asciiTheme="minorHAnsi" w:hAnsiTheme="minorHAnsi" w:cstheme="minorHAnsi"/>
          <w:sz w:val="20"/>
          <w:szCs w:val="20"/>
        </w:rPr>
        <w:t xml:space="preserve"> traditional </w:t>
      </w:r>
      <w:r w:rsidR="003B5BE4" w:rsidRPr="009F79B5">
        <w:rPr>
          <w:rFonts w:asciiTheme="minorHAnsi" w:hAnsiTheme="minorHAnsi" w:cstheme="minorHAnsi"/>
          <w:sz w:val="20"/>
          <w:szCs w:val="20"/>
        </w:rPr>
        <w:t>self-catering</w:t>
      </w:r>
      <w:r w:rsidRPr="009F79B5">
        <w:rPr>
          <w:rFonts w:asciiTheme="minorHAnsi" w:hAnsiTheme="minorHAnsi" w:cstheme="minorHAnsi"/>
          <w:sz w:val="20"/>
          <w:szCs w:val="20"/>
        </w:rPr>
        <w:t xml:space="preserve"> activity, to back farmers and to </w:t>
      </w:r>
      <w:r w:rsidR="003B5BE4" w:rsidRPr="009F79B5">
        <w:rPr>
          <w:rFonts w:asciiTheme="minorHAnsi" w:hAnsiTheme="minorHAnsi" w:cstheme="minorHAnsi"/>
          <w:sz w:val="20"/>
          <w:szCs w:val="20"/>
        </w:rPr>
        <w:t>support</w:t>
      </w:r>
      <w:r w:rsidRPr="009F79B5">
        <w:rPr>
          <w:rFonts w:asciiTheme="minorHAnsi" w:hAnsiTheme="minorHAnsi" w:cstheme="minorHAnsi"/>
          <w:sz w:val="20"/>
          <w:szCs w:val="20"/>
        </w:rPr>
        <w:t xml:space="preserve"> the rural pubs, workers and communities that rely on our sector by urging the Government to not introduce any changes to the Furnished Holiday Let regime and instead wait until the Government has a full picture of the market from the statutory registration scheme</w:t>
      </w:r>
      <w:r w:rsidR="003B5BE4" w:rsidRPr="009F79B5">
        <w:rPr>
          <w:rFonts w:asciiTheme="minorHAnsi" w:hAnsiTheme="minorHAnsi" w:cstheme="minorHAnsi"/>
          <w:sz w:val="20"/>
          <w:szCs w:val="20"/>
        </w:rPr>
        <w:t xml:space="preserve"> in England and the Licensing regime in Scotland</w:t>
      </w:r>
      <w:r w:rsidRPr="009F79B5">
        <w:rPr>
          <w:rFonts w:asciiTheme="minorHAnsi" w:hAnsiTheme="minorHAnsi" w:cstheme="minorHAnsi"/>
          <w:sz w:val="20"/>
          <w:szCs w:val="20"/>
        </w:rPr>
        <w:t xml:space="preserve">. </w:t>
      </w:r>
    </w:p>
    <w:p w14:paraId="031DDCFA" w14:textId="602C611F" w:rsidR="00E546A5" w:rsidRPr="009F79B5" w:rsidRDefault="00E546A5" w:rsidP="00E546A5">
      <w:pPr>
        <w:pStyle w:val="NoSpacing"/>
        <w:rPr>
          <w:rFonts w:cstheme="minorHAnsi"/>
          <w:sz w:val="20"/>
          <w:szCs w:val="20"/>
        </w:rPr>
      </w:pPr>
      <w:r w:rsidRPr="009F79B5">
        <w:rPr>
          <w:rFonts w:cstheme="minorHAnsi"/>
          <w:sz w:val="20"/>
          <w:szCs w:val="20"/>
        </w:rPr>
        <w:t>Policymakers should not use holiday accommodation as a means to solve housing challenges in Scotland, instead focusing on building more affordable homes and tackling the scourge of empty properties. Small businesses like self-catering, present in communities for decades, should not be used as a convenient scapegoat for wider failures in housing policy.</w:t>
      </w:r>
    </w:p>
    <w:p w14:paraId="19BCB377" w14:textId="741E5A9D" w:rsidR="00935E57" w:rsidRPr="009F79B5" w:rsidRDefault="00935E57" w:rsidP="00935E57">
      <w:pPr>
        <w:pStyle w:val="NormalWeb"/>
        <w:rPr>
          <w:rFonts w:asciiTheme="minorHAnsi" w:hAnsiTheme="minorHAnsi" w:cstheme="minorHAnsi"/>
          <w:sz w:val="20"/>
          <w:szCs w:val="20"/>
        </w:rPr>
      </w:pPr>
      <w:r w:rsidRPr="009F79B5">
        <w:rPr>
          <w:rFonts w:asciiTheme="minorHAnsi" w:hAnsiTheme="minorHAnsi" w:cstheme="minorHAnsi"/>
          <w:sz w:val="20"/>
          <w:szCs w:val="20"/>
        </w:rPr>
        <w:t xml:space="preserve">At the very least a full </w:t>
      </w:r>
      <w:r w:rsidR="006553E1" w:rsidRPr="009F79B5">
        <w:rPr>
          <w:rFonts w:asciiTheme="minorHAnsi" w:hAnsiTheme="minorHAnsi" w:cstheme="minorHAnsi"/>
          <w:sz w:val="20"/>
          <w:szCs w:val="20"/>
        </w:rPr>
        <w:t xml:space="preserve">consultation and associated </w:t>
      </w:r>
      <w:r w:rsidR="003B5BE4" w:rsidRPr="009F79B5">
        <w:rPr>
          <w:rFonts w:asciiTheme="minorHAnsi" w:hAnsiTheme="minorHAnsi" w:cstheme="minorHAnsi"/>
          <w:sz w:val="20"/>
          <w:szCs w:val="20"/>
        </w:rPr>
        <w:t>Business I</w:t>
      </w:r>
      <w:r w:rsidRPr="009F79B5">
        <w:rPr>
          <w:rFonts w:asciiTheme="minorHAnsi" w:hAnsiTheme="minorHAnsi" w:cstheme="minorHAnsi"/>
          <w:sz w:val="20"/>
          <w:szCs w:val="20"/>
        </w:rPr>
        <w:t xml:space="preserve">mpact </w:t>
      </w:r>
      <w:r w:rsidR="003B5BE4" w:rsidRPr="009F79B5">
        <w:rPr>
          <w:rFonts w:asciiTheme="minorHAnsi" w:hAnsiTheme="minorHAnsi" w:cstheme="minorHAnsi"/>
          <w:sz w:val="20"/>
          <w:szCs w:val="20"/>
        </w:rPr>
        <w:t>A</w:t>
      </w:r>
      <w:r w:rsidRPr="009F79B5">
        <w:rPr>
          <w:rFonts w:asciiTheme="minorHAnsi" w:hAnsiTheme="minorHAnsi" w:cstheme="minorHAnsi"/>
          <w:sz w:val="20"/>
          <w:szCs w:val="20"/>
        </w:rPr>
        <w:t>ssessment of th</w:t>
      </w:r>
      <w:r w:rsidR="003B5BE4" w:rsidRPr="009F79B5">
        <w:rPr>
          <w:rFonts w:asciiTheme="minorHAnsi" w:hAnsiTheme="minorHAnsi" w:cstheme="minorHAnsi"/>
          <w:sz w:val="20"/>
          <w:szCs w:val="20"/>
        </w:rPr>
        <w:t>e</w:t>
      </w:r>
      <w:r w:rsidRPr="009F79B5">
        <w:rPr>
          <w:rFonts w:asciiTheme="minorHAnsi" w:hAnsiTheme="minorHAnsi" w:cstheme="minorHAnsi"/>
          <w:sz w:val="20"/>
          <w:szCs w:val="20"/>
        </w:rPr>
        <w:t xml:space="preserve"> proposal </w:t>
      </w:r>
      <w:r w:rsidR="003B5BE4" w:rsidRPr="009F79B5">
        <w:rPr>
          <w:rFonts w:asciiTheme="minorHAnsi" w:hAnsiTheme="minorHAnsi" w:cstheme="minorHAnsi"/>
          <w:sz w:val="20"/>
          <w:szCs w:val="20"/>
        </w:rPr>
        <w:t>must</w:t>
      </w:r>
      <w:r w:rsidRPr="009F79B5">
        <w:rPr>
          <w:rFonts w:asciiTheme="minorHAnsi" w:hAnsiTheme="minorHAnsi" w:cstheme="minorHAnsi"/>
          <w:sz w:val="20"/>
          <w:szCs w:val="20"/>
        </w:rPr>
        <w:t xml:space="preserve"> be made before it advances. </w:t>
      </w:r>
    </w:p>
    <w:p w14:paraId="1EFB0D44" w14:textId="19EE20C9" w:rsidR="006D300C" w:rsidRPr="009F79B5" w:rsidRDefault="00935E57" w:rsidP="00935E57">
      <w:pPr>
        <w:pStyle w:val="NormalWeb"/>
        <w:rPr>
          <w:rFonts w:asciiTheme="minorHAnsi" w:hAnsiTheme="minorHAnsi" w:cstheme="minorHAnsi"/>
          <w:sz w:val="20"/>
          <w:szCs w:val="20"/>
        </w:rPr>
      </w:pPr>
      <w:r w:rsidRPr="009F79B5">
        <w:rPr>
          <w:rFonts w:asciiTheme="minorHAnsi" w:hAnsiTheme="minorHAnsi" w:cstheme="minorHAnsi"/>
          <w:sz w:val="20"/>
          <w:szCs w:val="20"/>
        </w:rPr>
        <w:t xml:space="preserve">The industry, as a collective union, </w:t>
      </w:r>
      <w:r w:rsidR="006D300C" w:rsidRPr="009F79B5">
        <w:rPr>
          <w:rFonts w:asciiTheme="minorHAnsi" w:hAnsiTheme="minorHAnsi" w:cstheme="minorHAnsi"/>
          <w:sz w:val="20"/>
          <w:szCs w:val="20"/>
        </w:rPr>
        <w:t xml:space="preserve">look forward </w:t>
      </w:r>
      <w:r w:rsidRPr="009F79B5">
        <w:rPr>
          <w:rFonts w:asciiTheme="minorHAnsi" w:hAnsiTheme="minorHAnsi" w:cstheme="minorHAnsi"/>
          <w:sz w:val="20"/>
          <w:szCs w:val="20"/>
        </w:rPr>
        <w:t>to collaborat</w:t>
      </w:r>
      <w:r w:rsidR="006D300C" w:rsidRPr="009F79B5">
        <w:rPr>
          <w:rFonts w:asciiTheme="minorHAnsi" w:hAnsiTheme="minorHAnsi" w:cstheme="minorHAnsi"/>
          <w:sz w:val="20"/>
          <w:szCs w:val="20"/>
        </w:rPr>
        <w:t>ing</w:t>
      </w:r>
      <w:r w:rsidRPr="009F79B5">
        <w:rPr>
          <w:rFonts w:asciiTheme="minorHAnsi" w:hAnsiTheme="minorHAnsi" w:cstheme="minorHAnsi"/>
          <w:sz w:val="20"/>
          <w:szCs w:val="20"/>
        </w:rPr>
        <w:t xml:space="preserve"> with all </w:t>
      </w:r>
      <w:r w:rsidR="003B5BE4" w:rsidRPr="009F79B5">
        <w:rPr>
          <w:rFonts w:asciiTheme="minorHAnsi" w:hAnsiTheme="minorHAnsi" w:cstheme="minorHAnsi"/>
          <w:sz w:val="20"/>
          <w:szCs w:val="20"/>
        </w:rPr>
        <w:t>governments</w:t>
      </w:r>
      <w:r w:rsidRPr="009F79B5">
        <w:rPr>
          <w:rFonts w:asciiTheme="minorHAnsi" w:hAnsiTheme="minorHAnsi" w:cstheme="minorHAnsi"/>
          <w:sz w:val="20"/>
          <w:szCs w:val="20"/>
        </w:rPr>
        <w:t xml:space="preserve"> </w:t>
      </w:r>
      <w:r w:rsidR="006D300C" w:rsidRPr="009F79B5">
        <w:rPr>
          <w:rFonts w:asciiTheme="minorHAnsi" w:hAnsiTheme="minorHAnsi" w:cstheme="minorHAnsi"/>
          <w:sz w:val="20"/>
          <w:szCs w:val="20"/>
        </w:rPr>
        <w:t>to</w:t>
      </w:r>
      <w:r w:rsidRPr="009F79B5">
        <w:rPr>
          <w:rFonts w:asciiTheme="minorHAnsi" w:hAnsiTheme="minorHAnsi" w:cstheme="minorHAnsi"/>
          <w:sz w:val="20"/>
          <w:szCs w:val="20"/>
        </w:rPr>
        <w:t xml:space="preserve"> share our expertise, in order to </w:t>
      </w:r>
      <w:r w:rsidR="003B5BE4" w:rsidRPr="009F79B5">
        <w:rPr>
          <w:rFonts w:asciiTheme="minorHAnsi" w:hAnsiTheme="minorHAnsi" w:cstheme="minorHAnsi"/>
          <w:sz w:val="20"/>
          <w:szCs w:val="20"/>
        </w:rPr>
        <w:t>develop</w:t>
      </w:r>
      <w:r w:rsidRPr="009F79B5">
        <w:rPr>
          <w:rFonts w:asciiTheme="minorHAnsi" w:hAnsiTheme="minorHAnsi" w:cstheme="minorHAnsi"/>
          <w:sz w:val="20"/>
          <w:szCs w:val="20"/>
        </w:rPr>
        <w:t xml:space="preserve"> a </w:t>
      </w:r>
      <w:r w:rsidR="003B5BE4" w:rsidRPr="009F79B5">
        <w:rPr>
          <w:rFonts w:asciiTheme="minorHAnsi" w:hAnsiTheme="minorHAnsi" w:cstheme="minorHAnsi"/>
          <w:sz w:val="20"/>
          <w:szCs w:val="20"/>
        </w:rPr>
        <w:t>proportionate, justifiable</w:t>
      </w:r>
      <w:r w:rsidRPr="009F79B5">
        <w:rPr>
          <w:rFonts w:asciiTheme="minorHAnsi" w:hAnsiTheme="minorHAnsi" w:cstheme="minorHAnsi"/>
          <w:sz w:val="20"/>
          <w:szCs w:val="20"/>
        </w:rPr>
        <w:t xml:space="preserve"> solution and necessary safeguards for a sector that provides </w:t>
      </w:r>
      <w:r w:rsidR="006553E1" w:rsidRPr="009F79B5">
        <w:rPr>
          <w:rFonts w:asciiTheme="minorHAnsi" w:hAnsiTheme="minorHAnsi" w:cstheme="minorHAnsi"/>
          <w:sz w:val="20"/>
          <w:szCs w:val="20"/>
        </w:rPr>
        <w:t>excellent</w:t>
      </w:r>
      <w:r w:rsidRPr="009F79B5">
        <w:rPr>
          <w:rFonts w:asciiTheme="minorHAnsi" w:hAnsiTheme="minorHAnsi" w:cstheme="minorHAnsi"/>
          <w:sz w:val="20"/>
          <w:szCs w:val="20"/>
        </w:rPr>
        <w:t xml:space="preserve"> value domestic holidays, with monies spent and retained in the UK. </w:t>
      </w:r>
      <w:bookmarkStart w:id="0" w:name="_GoBack"/>
      <w:bookmarkEnd w:id="0"/>
    </w:p>
    <w:p w14:paraId="3693E3A7" w14:textId="0AEFA05F" w:rsidR="006D300C" w:rsidRPr="009F79B5" w:rsidRDefault="006D300C" w:rsidP="00935E57">
      <w:pPr>
        <w:pStyle w:val="NormalWeb"/>
        <w:rPr>
          <w:rFonts w:asciiTheme="minorHAnsi" w:hAnsiTheme="minorHAnsi" w:cstheme="minorHAnsi"/>
          <w:b/>
          <w:sz w:val="20"/>
          <w:szCs w:val="20"/>
        </w:rPr>
      </w:pPr>
      <w:r w:rsidRPr="009F79B5">
        <w:rPr>
          <w:rFonts w:asciiTheme="minorHAnsi" w:hAnsiTheme="minorHAnsi" w:cstheme="minorHAnsi"/>
          <w:b/>
          <w:sz w:val="20"/>
          <w:szCs w:val="20"/>
        </w:rPr>
        <w:t>March 2024</w:t>
      </w:r>
    </w:p>
    <w:p w14:paraId="129EDA53" w14:textId="77777777" w:rsidR="001E4E3E" w:rsidRDefault="004E6A28"/>
    <w:sectPr w:rsidR="001E4E3E" w:rsidSect="000E7DA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4CDED" w14:textId="77777777" w:rsidR="004E6A28" w:rsidRDefault="004E6A28" w:rsidP="00FC682C">
      <w:r>
        <w:separator/>
      </w:r>
    </w:p>
  </w:endnote>
  <w:endnote w:type="continuationSeparator" w:id="0">
    <w:p w14:paraId="5F3BDCE6" w14:textId="77777777" w:rsidR="004E6A28" w:rsidRDefault="004E6A28" w:rsidP="00FC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C66A6" w14:textId="77777777" w:rsidR="004E6A28" w:rsidRDefault="004E6A28" w:rsidP="00FC682C">
      <w:r>
        <w:separator/>
      </w:r>
    </w:p>
  </w:footnote>
  <w:footnote w:type="continuationSeparator" w:id="0">
    <w:p w14:paraId="2100EE4C" w14:textId="77777777" w:rsidR="004E6A28" w:rsidRDefault="004E6A28" w:rsidP="00FC682C">
      <w:r>
        <w:continuationSeparator/>
      </w:r>
    </w:p>
  </w:footnote>
  <w:footnote w:id="1">
    <w:p w14:paraId="1C2A3CFE" w14:textId="77777777" w:rsidR="00FC682C" w:rsidRPr="00964E01" w:rsidRDefault="00FC682C" w:rsidP="00FC682C">
      <w:pPr>
        <w:pStyle w:val="NoSpacing"/>
        <w:rPr>
          <w:sz w:val="18"/>
          <w:szCs w:val="18"/>
        </w:rPr>
      </w:pPr>
      <w:r w:rsidRPr="00116DCF">
        <w:rPr>
          <w:rStyle w:val="FootnoteReference"/>
          <w:rFonts w:cstheme="minorHAnsi"/>
          <w:sz w:val="18"/>
          <w:szCs w:val="18"/>
        </w:rPr>
        <w:footnoteRef/>
      </w:r>
      <w:r w:rsidRPr="00964E01">
        <w:rPr>
          <w:sz w:val="18"/>
          <w:szCs w:val="18"/>
        </w:rPr>
        <w:t xml:space="preserve"> Vacant properties included those classified as: long-term (six months or more) empty (44,600, 1.7% of all dwellings) unoccupied exemptions (46,100, 1.7% of all dwellings), such as new homes yet to be occupied and dwellings undergoing repair or awaiting demolition.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515AA"/>
    <w:multiLevelType w:val="multilevel"/>
    <w:tmpl w:val="BC083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9937C0"/>
    <w:multiLevelType w:val="multilevel"/>
    <w:tmpl w:val="2312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B135B6"/>
    <w:multiLevelType w:val="hybridMultilevel"/>
    <w:tmpl w:val="83BA1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78320BE"/>
    <w:multiLevelType w:val="hybridMultilevel"/>
    <w:tmpl w:val="F170DC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DA874C5"/>
    <w:multiLevelType w:val="hybridMultilevel"/>
    <w:tmpl w:val="CF826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57"/>
    <w:rsid w:val="00015F78"/>
    <w:rsid w:val="000E7DA1"/>
    <w:rsid w:val="000F0BF2"/>
    <w:rsid w:val="001E00C5"/>
    <w:rsid w:val="001F00CD"/>
    <w:rsid w:val="003B5BE4"/>
    <w:rsid w:val="004B6A30"/>
    <w:rsid w:val="004E6A28"/>
    <w:rsid w:val="005D443A"/>
    <w:rsid w:val="006553E1"/>
    <w:rsid w:val="006A5003"/>
    <w:rsid w:val="006D300C"/>
    <w:rsid w:val="0081761A"/>
    <w:rsid w:val="00847446"/>
    <w:rsid w:val="00851435"/>
    <w:rsid w:val="00935E57"/>
    <w:rsid w:val="009F79B5"/>
    <w:rsid w:val="00AE456F"/>
    <w:rsid w:val="00BE1014"/>
    <w:rsid w:val="00D04B19"/>
    <w:rsid w:val="00DE5810"/>
    <w:rsid w:val="00E546A5"/>
    <w:rsid w:val="00ED7F50"/>
    <w:rsid w:val="00F12F78"/>
    <w:rsid w:val="00FC6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D7FE55"/>
  <w15:chartTrackingRefBased/>
  <w15:docId w15:val="{3BC7F9FB-D93F-AD44-9C57-E890E997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5E5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47446"/>
    <w:rPr>
      <w:color w:val="0563C1" w:themeColor="hyperlink"/>
      <w:u w:val="single"/>
    </w:rPr>
  </w:style>
  <w:style w:type="character" w:styleId="UnresolvedMention">
    <w:name w:val="Unresolved Mention"/>
    <w:basedOn w:val="DefaultParagraphFont"/>
    <w:uiPriority w:val="99"/>
    <w:semiHidden/>
    <w:unhideWhenUsed/>
    <w:rsid w:val="00847446"/>
    <w:rPr>
      <w:color w:val="605E5C"/>
      <w:shd w:val="clear" w:color="auto" w:fill="E1DFDD"/>
    </w:rPr>
  </w:style>
  <w:style w:type="paragraph" w:styleId="ListParagraph">
    <w:name w:val="List Paragraph"/>
    <w:basedOn w:val="Normal"/>
    <w:uiPriority w:val="34"/>
    <w:qFormat/>
    <w:rsid w:val="00FC682C"/>
    <w:pPr>
      <w:ind w:left="720"/>
      <w:contextualSpacing/>
    </w:pPr>
  </w:style>
  <w:style w:type="paragraph" w:styleId="FootnoteText">
    <w:name w:val="footnote text"/>
    <w:basedOn w:val="Normal"/>
    <w:link w:val="FootnoteTextChar"/>
    <w:uiPriority w:val="99"/>
    <w:semiHidden/>
    <w:unhideWhenUsed/>
    <w:rsid w:val="00FC682C"/>
    <w:rPr>
      <w:sz w:val="20"/>
      <w:szCs w:val="20"/>
    </w:rPr>
  </w:style>
  <w:style w:type="character" w:customStyle="1" w:styleId="FootnoteTextChar">
    <w:name w:val="Footnote Text Char"/>
    <w:basedOn w:val="DefaultParagraphFont"/>
    <w:link w:val="FootnoteText"/>
    <w:uiPriority w:val="99"/>
    <w:semiHidden/>
    <w:rsid w:val="00FC682C"/>
    <w:rPr>
      <w:sz w:val="20"/>
      <w:szCs w:val="20"/>
    </w:rPr>
  </w:style>
  <w:style w:type="character" w:styleId="FootnoteReference">
    <w:name w:val="footnote reference"/>
    <w:basedOn w:val="DefaultParagraphFont"/>
    <w:uiPriority w:val="99"/>
    <w:semiHidden/>
    <w:unhideWhenUsed/>
    <w:rsid w:val="00FC682C"/>
    <w:rPr>
      <w:vertAlign w:val="superscript"/>
    </w:rPr>
  </w:style>
  <w:style w:type="paragraph" w:styleId="NoSpacing">
    <w:name w:val="No Spacing"/>
    <w:uiPriority w:val="1"/>
    <w:qFormat/>
    <w:rsid w:val="00FC682C"/>
  </w:style>
  <w:style w:type="character" w:styleId="FollowedHyperlink">
    <w:name w:val="FollowedHyperlink"/>
    <w:basedOn w:val="DefaultParagraphFont"/>
    <w:uiPriority w:val="99"/>
    <w:semiHidden/>
    <w:unhideWhenUsed/>
    <w:rsid w:val="00D04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687398">
      <w:bodyDiv w:val="1"/>
      <w:marLeft w:val="0"/>
      <w:marRight w:val="0"/>
      <w:marTop w:val="0"/>
      <w:marBottom w:val="0"/>
      <w:divBdr>
        <w:top w:val="none" w:sz="0" w:space="0" w:color="auto"/>
        <w:left w:val="none" w:sz="0" w:space="0" w:color="auto"/>
        <w:bottom w:val="none" w:sz="0" w:space="0" w:color="auto"/>
        <w:right w:val="none" w:sz="0" w:space="0" w:color="auto"/>
      </w:divBdr>
    </w:div>
    <w:div w:id="1159030587">
      <w:bodyDiv w:val="1"/>
      <w:marLeft w:val="0"/>
      <w:marRight w:val="0"/>
      <w:marTop w:val="0"/>
      <w:marBottom w:val="0"/>
      <w:divBdr>
        <w:top w:val="none" w:sz="0" w:space="0" w:color="auto"/>
        <w:left w:val="none" w:sz="0" w:space="0" w:color="auto"/>
        <w:bottom w:val="none" w:sz="0" w:space="0" w:color="auto"/>
        <w:right w:val="none" w:sz="0" w:space="0" w:color="auto"/>
      </w:divBdr>
      <w:divsChild>
        <w:div w:id="565577848">
          <w:marLeft w:val="0"/>
          <w:marRight w:val="0"/>
          <w:marTop w:val="0"/>
          <w:marBottom w:val="0"/>
          <w:divBdr>
            <w:top w:val="none" w:sz="0" w:space="0" w:color="auto"/>
            <w:left w:val="none" w:sz="0" w:space="0" w:color="auto"/>
            <w:bottom w:val="none" w:sz="0" w:space="0" w:color="auto"/>
            <w:right w:val="none" w:sz="0" w:space="0" w:color="auto"/>
          </w:divBdr>
          <w:divsChild>
            <w:div w:id="1592156142">
              <w:marLeft w:val="0"/>
              <w:marRight w:val="0"/>
              <w:marTop w:val="0"/>
              <w:marBottom w:val="0"/>
              <w:divBdr>
                <w:top w:val="none" w:sz="0" w:space="0" w:color="auto"/>
                <w:left w:val="none" w:sz="0" w:space="0" w:color="auto"/>
                <w:bottom w:val="none" w:sz="0" w:space="0" w:color="auto"/>
                <w:right w:val="none" w:sz="0" w:space="0" w:color="auto"/>
              </w:divBdr>
              <w:divsChild>
                <w:div w:id="1710298733">
                  <w:marLeft w:val="0"/>
                  <w:marRight w:val="0"/>
                  <w:marTop w:val="0"/>
                  <w:marBottom w:val="0"/>
                  <w:divBdr>
                    <w:top w:val="none" w:sz="0" w:space="0" w:color="auto"/>
                    <w:left w:val="none" w:sz="0" w:space="0" w:color="auto"/>
                    <w:bottom w:val="none" w:sz="0" w:space="0" w:color="auto"/>
                    <w:right w:val="none" w:sz="0" w:space="0" w:color="auto"/>
                  </w:divBdr>
                </w:div>
              </w:divsChild>
            </w:div>
            <w:div w:id="562563640">
              <w:marLeft w:val="0"/>
              <w:marRight w:val="0"/>
              <w:marTop w:val="0"/>
              <w:marBottom w:val="0"/>
              <w:divBdr>
                <w:top w:val="none" w:sz="0" w:space="0" w:color="auto"/>
                <w:left w:val="none" w:sz="0" w:space="0" w:color="auto"/>
                <w:bottom w:val="none" w:sz="0" w:space="0" w:color="auto"/>
                <w:right w:val="none" w:sz="0" w:space="0" w:color="auto"/>
              </w:divBdr>
              <w:divsChild>
                <w:div w:id="13334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8403">
          <w:marLeft w:val="0"/>
          <w:marRight w:val="0"/>
          <w:marTop w:val="0"/>
          <w:marBottom w:val="0"/>
          <w:divBdr>
            <w:top w:val="none" w:sz="0" w:space="0" w:color="auto"/>
            <w:left w:val="none" w:sz="0" w:space="0" w:color="auto"/>
            <w:bottom w:val="none" w:sz="0" w:space="0" w:color="auto"/>
            <w:right w:val="none" w:sz="0" w:space="0" w:color="auto"/>
          </w:divBdr>
          <w:divsChild>
            <w:div w:id="1699817225">
              <w:marLeft w:val="0"/>
              <w:marRight w:val="0"/>
              <w:marTop w:val="0"/>
              <w:marBottom w:val="0"/>
              <w:divBdr>
                <w:top w:val="none" w:sz="0" w:space="0" w:color="auto"/>
                <w:left w:val="none" w:sz="0" w:space="0" w:color="auto"/>
                <w:bottom w:val="none" w:sz="0" w:space="0" w:color="auto"/>
                <w:right w:val="none" w:sz="0" w:space="0" w:color="auto"/>
              </w:divBdr>
              <w:divsChild>
                <w:div w:id="1660770960">
                  <w:marLeft w:val="0"/>
                  <w:marRight w:val="0"/>
                  <w:marTop w:val="0"/>
                  <w:marBottom w:val="0"/>
                  <w:divBdr>
                    <w:top w:val="none" w:sz="0" w:space="0" w:color="auto"/>
                    <w:left w:val="none" w:sz="0" w:space="0" w:color="auto"/>
                    <w:bottom w:val="none" w:sz="0" w:space="0" w:color="auto"/>
                    <w:right w:val="none" w:sz="0" w:space="0" w:color="auto"/>
                  </w:divBdr>
                </w:div>
              </w:divsChild>
            </w:div>
            <w:div w:id="1548833453">
              <w:marLeft w:val="0"/>
              <w:marRight w:val="0"/>
              <w:marTop w:val="0"/>
              <w:marBottom w:val="0"/>
              <w:divBdr>
                <w:top w:val="none" w:sz="0" w:space="0" w:color="auto"/>
                <w:left w:val="none" w:sz="0" w:space="0" w:color="auto"/>
                <w:bottom w:val="none" w:sz="0" w:space="0" w:color="auto"/>
                <w:right w:val="none" w:sz="0" w:space="0" w:color="auto"/>
              </w:divBdr>
              <w:divsChild>
                <w:div w:id="7062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4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c.co.uk/member-news/assc-expresses-disappointment-over-uk-government-abolition-of-fhl-tax-regime" TargetMode="External"/><Relationship Id="rId13" Type="http://schemas.openxmlformats.org/officeDocument/2006/relationships/hyperlink" Target="https://www.nrscotland.gov.uk/files/statistics/household-estimates/2022/house-est-22-report.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ons.gov.uk/peoplepopulationandcommunity/housing/articles/housinginenglandandwales/2021comparedwith20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rscotland.gov.uk/files/statistics/household-estimates/2022/house-est-22-report.pdf" TargetMode="External"/><Relationship Id="rId5" Type="http://schemas.openxmlformats.org/officeDocument/2006/relationships/footnotes" Target="footnotes.xml"/><Relationship Id="rId15" Type="http://schemas.openxmlformats.org/officeDocument/2006/relationships/hyperlink" Target="https://www.nfuonline.com/updates-and-information/spring-budget-2024-nfu-response/" TargetMode="External"/><Relationship Id="rId10" Type="http://schemas.openxmlformats.org/officeDocument/2006/relationships/hyperlink" Target="https://www.assc.co.uk/regulations/briefing-distinguishing-between-empty-homes-second-homes-and-self-catering-accommodation" TargetMode="External"/><Relationship Id="rId4" Type="http://schemas.openxmlformats.org/officeDocument/2006/relationships/webSettings" Target="webSettings.xml"/><Relationship Id="rId9" Type="http://schemas.openxmlformats.org/officeDocument/2006/relationships/hyperlink" Target="https://www.assc.co.uk/legislation/housing-and-short-term-lets-in-scotland-the-facts" TargetMode="External"/><Relationship Id="rId14" Type="http://schemas.openxmlformats.org/officeDocument/2006/relationships/hyperlink" Target="https://www.nrla.org.uk/news/landlords-respond-to-reports-of-holiday-lets-tax-r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Campbell</dc:creator>
  <cp:keywords/>
  <dc:description/>
  <cp:lastModifiedBy>Fiona Campbell</cp:lastModifiedBy>
  <cp:revision>14</cp:revision>
  <dcterms:created xsi:type="dcterms:W3CDTF">2024-03-17T20:04:00Z</dcterms:created>
  <dcterms:modified xsi:type="dcterms:W3CDTF">2024-03-18T09:49:00Z</dcterms:modified>
</cp:coreProperties>
</file>